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43D" w:rsidRDefault="00F27598" w:rsidP="00F27598">
      <w:pPr>
        <w:jc w:val="center"/>
        <w:rPr>
          <w:rFonts w:ascii="Tahoma" w:hAnsi="Tahoma" w:cs="Tahoma"/>
          <w:sz w:val="36"/>
          <w:szCs w:val="36"/>
        </w:rPr>
      </w:pPr>
      <w:r w:rsidRPr="0021461B">
        <w:rPr>
          <w:rFonts w:ascii="Tahoma" w:hAnsi="Tahoma" w:cs="Tahoma"/>
          <w:sz w:val="36"/>
          <w:szCs w:val="36"/>
        </w:rPr>
        <w:t>RAWLINS INTERAGENCY DISPATCH CENTER</w:t>
      </w:r>
    </w:p>
    <w:p w:rsidR="00E4196A" w:rsidRPr="0021461B" w:rsidRDefault="00E4196A" w:rsidP="00F27598">
      <w:pPr>
        <w:jc w:val="center"/>
        <w:rPr>
          <w:rFonts w:ascii="Tahoma" w:hAnsi="Tahoma" w:cs="Tahoma"/>
          <w:sz w:val="36"/>
          <w:szCs w:val="36"/>
        </w:rPr>
      </w:pPr>
      <w:r>
        <w:rPr>
          <w:rFonts w:ascii="Tahoma" w:hAnsi="Tahoma" w:cs="Tahoma"/>
          <w:noProof/>
          <w:sz w:val="36"/>
          <w:szCs w:val="36"/>
        </w:rPr>
        <w:drawing>
          <wp:inline distT="0" distB="0" distL="0" distR="0">
            <wp:extent cx="1278975" cy="1113182"/>
            <wp:effectExtent l="0" t="0" r="0" b="0"/>
            <wp:docPr id="5" name="Picture 5" title="Bureau of Land Manag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M Ima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0450" cy="1114466"/>
                    </a:xfrm>
                    <a:prstGeom prst="rect">
                      <a:avLst/>
                    </a:prstGeom>
                  </pic:spPr>
                </pic:pic>
              </a:graphicData>
            </a:graphic>
          </wp:inline>
        </w:drawing>
      </w:r>
      <w:r w:rsidR="00746E56">
        <w:rPr>
          <w:rFonts w:ascii="Tahoma" w:hAnsi="Tahoma" w:cs="Tahoma"/>
          <w:noProof/>
          <w:sz w:val="36"/>
          <w:szCs w:val="36"/>
        </w:rPr>
        <w:drawing>
          <wp:inline distT="0" distB="0" distL="0" distR="0">
            <wp:extent cx="1150171" cy="1113183"/>
            <wp:effectExtent l="0" t="0" r="0" b="0"/>
            <wp:docPr id="6" name="Picture 6" title="BLM- Wyoming High Desert Distri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D nike polo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241" cy="1112283"/>
                    </a:xfrm>
                    <a:prstGeom prst="rect">
                      <a:avLst/>
                    </a:prstGeom>
                  </pic:spPr>
                </pic:pic>
              </a:graphicData>
            </a:graphic>
          </wp:inline>
        </w:drawing>
      </w:r>
    </w:p>
    <w:p w:rsidR="007F200A" w:rsidRPr="007E53EC" w:rsidRDefault="00F27598" w:rsidP="007E53EC">
      <w:pPr>
        <w:jc w:val="center"/>
        <w:rPr>
          <w:rFonts w:ascii="Tahoma" w:hAnsi="Tahoma" w:cs="Tahoma"/>
          <w:sz w:val="36"/>
          <w:szCs w:val="36"/>
        </w:rPr>
      </w:pPr>
      <w:r w:rsidRPr="0021461B">
        <w:rPr>
          <w:rFonts w:ascii="Tahoma" w:hAnsi="Tahoma" w:cs="Tahoma"/>
          <w:sz w:val="36"/>
          <w:szCs w:val="36"/>
        </w:rPr>
        <w:t>201</w:t>
      </w:r>
      <w:r w:rsidR="00E4196A">
        <w:rPr>
          <w:rFonts w:ascii="Tahoma" w:hAnsi="Tahoma" w:cs="Tahoma"/>
          <w:sz w:val="36"/>
          <w:szCs w:val="36"/>
        </w:rPr>
        <w:t>6</w:t>
      </w:r>
      <w:r w:rsidRPr="0021461B">
        <w:rPr>
          <w:rFonts w:ascii="Tahoma" w:hAnsi="Tahoma" w:cs="Tahoma"/>
          <w:sz w:val="36"/>
          <w:szCs w:val="36"/>
        </w:rPr>
        <w:t xml:space="preserve"> ANNUAL REPORT</w:t>
      </w:r>
    </w:p>
    <w:p w:rsidR="007E53EC" w:rsidRDefault="007E53EC" w:rsidP="00D96DAC">
      <w:pPr>
        <w:spacing w:after="0"/>
        <w:jc w:val="center"/>
        <w:rPr>
          <w:rFonts w:cs="Calibri"/>
          <w:b/>
          <w:sz w:val="28"/>
          <w:szCs w:val="28"/>
        </w:rPr>
      </w:pPr>
    </w:p>
    <w:p w:rsidR="00E4196A" w:rsidRDefault="00E13FD2" w:rsidP="00E4196A">
      <w:pPr>
        <w:keepNext/>
        <w:spacing w:after="0"/>
        <w:jc w:val="center"/>
      </w:pPr>
      <w:r>
        <w:rPr>
          <w:rFonts w:cs="Calibri"/>
          <w:b/>
          <w:noProof/>
          <w:sz w:val="28"/>
          <w:szCs w:val="28"/>
        </w:rPr>
        <w:drawing>
          <wp:inline distT="0" distB="0" distL="0" distR="0" wp14:anchorId="5826E75A" wp14:editId="67865C35">
            <wp:extent cx="5943600" cy="4439285"/>
            <wp:effectExtent l="0" t="0" r="0" b="0"/>
            <wp:docPr id="2" name="Picture 2" title="Picture of Tokewanna fire taken from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_00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39285"/>
                    </a:xfrm>
                    <a:prstGeom prst="rect">
                      <a:avLst/>
                    </a:prstGeom>
                  </pic:spPr>
                </pic:pic>
              </a:graphicData>
            </a:graphic>
          </wp:inline>
        </w:drawing>
      </w:r>
    </w:p>
    <w:p w:rsidR="001F5A55" w:rsidRDefault="00E4196A" w:rsidP="00E4196A">
      <w:pPr>
        <w:pStyle w:val="Caption"/>
        <w:jc w:val="center"/>
      </w:pPr>
      <w:r>
        <w:t xml:space="preserve">Figure </w:t>
      </w:r>
      <w:r w:rsidR="001F5A55">
        <w:fldChar w:fldCharType="begin"/>
      </w:r>
      <w:r w:rsidR="001F5A55">
        <w:instrText xml:space="preserve"> SEQ Figure \* ARABIC </w:instrText>
      </w:r>
      <w:r w:rsidR="001F5A55">
        <w:fldChar w:fldCharType="separate"/>
      </w:r>
      <w:r w:rsidR="001F5A55">
        <w:rPr>
          <w:noProof/>
        </w:rPr>
        <w:t>1</w:t>
      </w:r>
      <w:r w:rsidR="001F5A55">
        <w:rPr>
          <w:noProof/>
        </w:rPr>
        <w:fldChar w:fldCharType="end"/>
      </w:r>
      <w:r>
        <w:t xml:space="preserve"> </w:t>
      </w:r>
      <w:proofErr w:type="spellStart"/>
      <w:r>
        <w:t>Tokewanna</w:t>
      </w:r>
      <w:proofErr w:type="spellEnd"/>
    </w:p>
    <w:p w:rsidR="001F5A55" w:rsidRDefault="001F5A55" w:rsidP="001F5A55">
      <w:pPr>
        <w:rPr>
          <w:color w:val="4F81BD" w:themeColor="accent1"/>
          <w:sz w:val="18"/>
          <w:szCs w:val="18"/>
        </w:rPr>
      </w:pPr>
      <w:r>
        <w:br w:type="page"/>
      </w:r>
    </w:p>
    <w:p w:rsidR="007E53EC" w:rsidRDefault="007E53EC" w:rsidP="00E4196A">
      <w:pPr>
        <w:pStyle w:val="Caption"/>
        <w:jc w:val="center"/>
        <w:rPr>
          <w:rFonts w:cs="Calibri"/>
          <w:b w:val="0"/>
          <w:sz w:val="28"/>
          <w:szCs w:val="28"/>
        </w:rPr>
      </w:pPr>
    </w:p>
    <w:p w:rsidR="007E53EC" w:rsidRDefault="007E53EC" w:rsidP="00D96DAC">
      <w:pPr>
        <w:spacing w:after="0"/>
        <w:jc w:val="center"/>
        <w:rPr>
          <w:rFonts w:cs="Calibri"/>
          <w:b/>
          <w:sz w:val="28"/>
          <w:szCs w:val="28"/>
        </w:rPr>
      </w:pPr>
    </w:p>
    <w:p w:rsidR="00F27598" w:rsidRPr="00410BFC" w:rsidRDefault="00F27598" w:rsidP="00D96DAC">
      <w:pPr>
        <w:spacing w:after="0"/>
        <w:jc w:val="center"/>
        <w:rPr>
          <w:rFonts w:cs="Calibri"/>
          <w:b/>
          <w:sz w:val="28"/>
          <w:szCs w:val="28"/>
        </w:rPr>
      </w:pPr>
      <w:r w:rsidRPr="00410BFC">
        <w:rPr>
          <w:rFonts w:cs="Calibri"/>
          <w:b/>
          <w:sz w:val="28"/>
          <w:szCs w:val="28"/>
        </w:rPr>
        <w:t>Introduction to the Center</w:t>
      </w:r>
    </w:p>
    <w:p w:rsidR="00F27598" w:rsidRDefault="005D3A66" w:rsidP="00D96DAC">
      <w:pPr>
        <w:spacing w:after="0"/>
        <w:rPr>
          <w:rFonts w:cs="Calibri"/>
          <w:sz w:val="24"/>
          <w:szCs w:val="24"/>
        </w:rPr>
      </w:pPr>
      <w:r>
        <w:rPr>
          <w:rFonts w:cs="Calibri"/>
          <w:sz w:val="24"/>
          <w:szCs w:val="24"/>
        </w:rPr>
        <w:t>Rawlins Interagency Dispatch Center</w:t>
      </w:r>
      <w:r w:rsidR="0041236B">
        <w:rPr>
          <w:rFonts w:cs="Calibri"/>
          <w:sz w:val="24"/>
          <w:szCs w:val="24"/>
        </w:rPr>
        <w:t xml:space="preserve"> (RWC)</w:t>
      </w:r>
      <w:r>
        <w:rPr>
          <w:rFonts w:cs="Calibri"/>
          <w:sz w:val="24"/>
          <w:szCs w:val="24"/>
        </w:rPr>
        <w:t xml:space="preserve"> is hosted by</w:t>
      </w:r>
      <w:r w:rsidR="00F27598" w:rsidRPr="00410BFC">
        <w:rPr>
          <w:rFonts w:cs="Calibri"/>
          <w:sz w:val="24"/>
          <w:szCs w:val="24"/>
        </w:rPr>
        <w:t xml:space="preserve"> Bureau of Land Management’s High Desert District. </w:t>
      </w:r>
      <w:r w:rsidR="0041236B">
        <w:rPr>
          <w:rFonts w:cs="Calibri"/>
          <w:sz w:val="24"/>
          <w:szCs w:val="24"/>
        </w:rPr>
        <w:t xml:space="preserve"> RWC </w:t>
      </w:r>
      <w:r w:rsidR="00F27598" w:rsidRPr="00F45FDE">
        <w:rPr>
          <w:rFonts w:cs="Calibri"/>
          <w:sz w:val="24"/>
          <w:szCs w:val="24"/>
        </w:rPr>
        <w:t>provide</w:t>
      </w:r>
      <w:r w:rsidR="0041236B">
        <w:rPr>
          <w:rFonts w:cs="Calibri"/>
          <w:sz w:val="24"/>
          <w:szCs w:val="24"/>
        </w:rPr>
        <w:t>s</w:t>
      </w:r>
      <w:r w:rsidR="00F27598" w:rsidRPr="00F45FDE">
        <w:rPr>
          <w:rFonts w:cs="Calibri"/>
          <w:sz w:val="24"/>
          <w:szCs w:val="24"/>
        </w:rPr>
        <w:t xml:space="preserve"> services for </w:t>
      </w:r>
      <w:r w:rsidR="00F45FDE" w:rsidRPr="00F45FDE">
        <w:rPr>
          <w:rFonts w:cs="Calibri"/>
          <w:sz w:val="24"/>
          <w:szCs w:val="24"/>
        </w:rPr>
        <w:t>nine</w:t>
      </w:r>
      <w:r w:rsidR="00F27598" w:rsidRPr="00F45FDE">
        <w:rPr>
          <w:rFonts w:cs="Calibri"/>
          <w:sz w:val="24"/>
          <w:szCs w:val="24"/>
        </w:rPr>
        <w:t xml:space="preserve"> counties</w:t>
      </w:r>
      <w:r w:rsidR="0014058E" w:rsidRPr="00F45FDE">
        <w:rPr>
          <w:rFonts w:cs="Calibri"/>
          <w:sz w:val="24"/>
          <w:szCs w:val="24"/>
        </w:rPr>
        <w:t xml:space="preserve"> (ALX-Albany, CAX-Carbon, FAX-Fremont, </w:t>
      </w:r>
      <w:proofErr w:type="gramStart"/>
      <w:r w:rsidR="0014058E" w:rsidRPr="00F45FDE">
        <w:rPr>
          <w:rFonts w:cs="Calibri"/>
          <w:sz w:val="24"/>
          <w:szCs w:val="24"/>
        </w:rPr>
        <w:t>LAX</w:t>
      </w:r>
      <w:proofErr w:type="gramEnd"/>
      <w:r w:rsidR="0014058E" w:rsidRPr="00F45FDE">
        <w:rPr>
          <w:rFonts w:cs="Calibri"/>
          <w:sz w:val="24"/>
          <w:szCs w:val="24"/>
        </w:rPr>
        <w:t>-Laramie, LIX-Lincoln, PAX-Platte, SUX-Sublette, SWX-Sweetwater, and UIX-Uinta)</w:t>
      </w:r>
      <w:r w:rsidR="00F27598" w:rsidRPr="00410BFC">
        <w:rPr>
          <w:rFonts w:cs="Calibri"/>
          <w:sz w:val="24"/>
          <w:szCs w:val="24"/>
        </w:rPr>
        <w:t>, four BLM Field Offices</w:t>
      </w:r>
      <w:r w:rsidR="0041236B">
        <w:rPr>
          <w:rFonts w:cs="Calibri"/>
          <w:sz w:val="24"/>
          <w:szCs w:val="24"/>
        </w:rPr>
        <w:t xml:space="preserve"> (Rawlins, Rock Springs, K</w:t>
      </w:r>
      <w:r w:rsidR="0014058E">
        <w:rPr>
          <w:rFonts w:cs="Calibri"/>
          <w:sz w:val="24"/>
          <w:szCs w:val="24"/>
        </w:rPr>
        <w:t>emmerer, and Pinedale)</w:t>
      </w:r>
      <w:r w:rsidR="00F27598" w:rsidRPr="00410BFC">
        <w:rPr>
          <w:rFonts w:cs="Calibri"/>
          <w:sz w:val="24"/>
          <w:szCs w:val="24"/>
        </w:rPr>
        <w:t xml:space="preserve">, </w:t>
      </w:r>
      <w:r w:rsidR="00F103BB">
        <w:rPr>
          <w:rFonts w:cs="Calibri"/>
          <w:sz w:val="24"/>
          <w:szCs w:val="24"/>
        </w:rPr>
        <w:t xml:space="preserve">BLM Wyoming State Office, </w:t>
      </w:r>
      <w:r w:rsidR="00F27598" w:rsidRPr="00410BFC">
        <w:rPr>
          <w:rFonts w:cs="Calibri"/>
          <w:sz w:val="24"/>
          <w:szCs w:val="24"/>
        </w:rPr>
        <w:t xml:space="preserve">Wyoming State Forestry, </w:t>
      </w:r>
      <w:r w:rsidR="00C55932">
        <w:rPr>
          <w:rFonts w:cs="Calibri"/>
          <w:sz w:val="24"/>
          <w:szCs w:val="24"/>
        </w:rPr>
        <w:t xml:space="preserve">the </w:t>
      </w:r>
      <w:r w:rsidR="00F27598" w:rsidRPr="00410BFC">
        <w:rPr>
          <w:rFonts w:cs="Calibri"/>
          <w:sz w:val="24"/>
          <w:szCs w:val="24"/>
        </w:rPr>
        <w:t>National Park Service</w:t>
      </w:r>
      <w:r w:rsidR="0014058E">
        <w:rPr>
          <w:rFonts w:cs="Calibri"/>
          <w:sz w:val="24"/>
          <w:szCs w:val="24"/>
        </w:rPr>
        <w:t xml:space="preserve"> (Grand Teton)</w:t>
      </w:r>
      <w:r w:rsidR="00F27598" w:rsidRPr="00410BFC">
        <w:rPr>
          <w:rFonts w:cs="Calibri"/>
          <w:sz w:val="24"/>
          <w:szCs w:val="24"/>
        </w:rPr>
        <w:t xml:space="preserve">, and </w:t>
      </w:r>
      <w:r w:rsidR="00C55932">
        <w:rPr>
          <w:rFonts w:cs="Calibri"/>
          <w:sz w:val="24"/>
          <w:szCs w:val="24"/>
        </w:rPr>
        <w:t xml:space="preserve">the US </w:t>
      </w:r>
      <w:r w:rsidR="00F27598" w:rsidRPr="00410BFC">
        <w:rPr>
          <w:rFonts w:cs="Calibri"/>
          <w:sz w:val="24"/>
          <w:szCs w:val="24"/>
        </w:rPr>
        <w:t xml:space="preserve">Fish </w:t>
      </w:r>
      <w:r w:rsidR="00C55932">
        <w:rPr>
          <w:rFonts w:cs="Calibri"/>
          <w:sz w:val="24"/>
          <w:szCs w:val="24"/>
        </w:rPr>
        <w:t xml:space="preserve">&amp; </w:t>
      </w:r>
      <w:r w:rsidR="00F27598" w:rsidRPr="00410BFC">
        <w:rPr>
          <w:rFonts w:cs="Calibri"/>
          <w:sz w:val="24"/>
          <w:szCs w:val="24"/>
        </w:rPr>
        <w:t>Wildlife Service.</w:t>
      </w:r>
      <w:r w:rsidR="00CD69F4">
        <w:rPr>
          <w:rFonts w:cs="Calibri"/>
          <w:sz w:val="24"/>
          <w:szCs w:val="24"/>
        </w:rPr>
        <w:t xml:space="preserve">  At the time of this report there is strong movement to combine Casper (CPC) with Rawlins Dispatch, in </w:t>
      </w:r>
      <w:proofErr w:type="spellStart"/>
      <w:r w:rsidR="00CD69F4">
        <w:rPr>
          <w:rFonts w:cs="Calibri"/>
          <w:sz w:val="24"/>
          <w:szCs w:val="24"/>
        </w:rPr>
        <w:t>Capser</w:t>
      </w:r>
      <w:proofErr w:type="spellEnd"/>
      <w:r w:rsidR="00CD69F4">
        <w:rPr>
          <w:rFonts w:cs="Calibri"/>
          <w:sz w:val="24"/>
          <w:szCs w:val="24"/>
        </w:rPr>
        <w:t>.</w:t>
      </w:r>
    </w:p>
    <w:p w:rsidR="00740D1D" w:rsidRPr="00410BFC" w:rsidRDefault="00740D1D" w:rsidP="00D96DAC">
      <w:pPr>
        <w:spacing w:after="0"/>
        <w:rPr>
          <w:rFonts w:cs="Calibri"/>
          <w:sz w:val="24"/>
          <w:szCs w:val="24"/>
        </w:rPr>
      </w:pPr>
    </w:p>
    <w:p w:rsidR="00F27598" w:rsidRDefault="00F27598" w:rsidP="00D96DAC">
      <w:pPr>
        <w:spacing w:after="0"/>
        <w:rPr>
          <w:rFonts w:cs="Calibri"/>
          <w:sz w:val="24"/>
          <w:szCs w:val="24"/>
        </w:rPr>
      </w:pPr>
      <w:r w:rsidRPr="00410BFC">
        <w:rPr>
          <w:rFonts w:cs="Calibri"/>
          <w:sz w:val="24"/>
          <w:szCs w:val="24"/>
        </w:rPr>
        <w:t>Our staff includes one Center Manager</w:t>
      </w:r>
      <w:r w:rsidR="00561109" w:rsidRPr="00410BFC">
        <w:rPr>
          <w:rFonts w:cs="Calibri"/>
          <w:sz w:val="24"/>
          <w:szCs w:val="24"/>
        </w:rPr>
        <w:t xml:space="preserve">, one Assistant Center Manager, one </w:t>
      </w:r>
      <w:r w:rsidR="009F3061">
        <w:rPr>
          <w:rFonts w:cs="Calibri"/>
          <w:sz w:val="24"/>
          <w:szCs w:val="24"/>
        </w:rPr>
        <w:t xml:space="preserve">permanent full time </w:t>
      </w:r>
      <w:r w:rsidR="00561109" w:rsidRPr="00410BFC">
        <w:rPr>
          <w:rFonts w:cs="Calibri"/>
          <w:sz w:val="24"/>
          <w:szCs w:val="24"/>
        </w:rPr>
        <w:t>Initial Attack Dispatcher</w:t>
      </w:r>
      <w:r w:rsidR="00C55932">
        <w:rPr>
          <w:rFonts w:cs="Calibri"/>
          <w:sz w:val="24"/>
          <w:szCs w:val="24"/>
        </w:rPr>
        <w:t xml:space="preserve">, </w:t>
      </w:r>
      <w:r w:rsidR="00C55932" w:rsidRPr="00410BFC">
        <w:rPr>
          <w:rFonts w:cs="Calibri"/>
          <w:sz w:val="24"/>
          <w:szCs w:val="24"/>
        </w:rPr>
        <w:t>and</w:t>
      </w:r>
      <w:r w:rsidR="00561109" w:rsidRPr="00410BFC">
        <w:rPr>
          <w:rFonts w:cs="Calibri"/>
          <w:sz w:val="24"/>
          <w:szCs w:val="24"/>
        </w:rPr>
        <w:t xml:space="preserve"> one care</w:t>
      </w:r>
      <w:r w:rsidR="0014058E">
        <w:rPr>
          <w:rFonts w:cs="Calibri"/>
          <w:sz w:val="24"/>
          <w:szCs w:val="24"/>
        </w:rPr>
        <w:t>er-seasonal Logistics Dispatcher.</w:t>
      </w:r>
      <w:r w:rsidR="00561109" w:rsidRPr="00410BFC">
        <w:rPr>
          <w:rFonts w:cs="Calibri"/>
          <w:sz w:val="24"/>
          <w:szCs w:val="24"/>
        </w:rPr>
        <w:t xml:space="preserve">  During the summer months we hire </w:t>
      </w:r>
      <w:r w:rsidR="00C55932">
        <w:rPr>
          <w:rFonts w:cs="Calibri"/>
          <w:sz w:val="24"/>
          <w:szCs w:val="24"/>
        </w:rPr>
        <w:t>one</w:t>
      </w:r>
      <w:r w:rsidR="00561109" w:rsidRPr="00410BFC">
        <w:rPr>
          <w:rFonts w:cs="Calibri"/>
          <w:sz w:val="24"/>
          <w:szCs w:val="24"/>
        </w:rPr>
        <w:t xml:space="preserve"> to </w:t>
      </w:r>
      <w:r w:rsidR="00C55932">
        <w:rPr>
          <w:rFonts w:cs="Calibri"/>
          <w:sz w:val="24"/>
          <w:szCs w:val="24"/>
        </w:rPr>
        <w:t>three</w:t>
      </w:r>
      <w:r w:rsidR="00561109" w:rsidRPr="00410BFC">
        <w:rPr>
          <w:rFonts w:cs="Calibri"/>
          <w:sz w:val="24"/>
          <w:szCs w:val="24"/>
        </w:rPr>
        <w:t xml:space="preserve"> seasonal dispatchers.  </w:t>
      </w:r>
      <w:r w:rsidR="009A270F">
        <w:rPr>
          <w:rFonts w:cs="Calibri"/>
          <w:sz w:val="24"/>
          <w:szCs w:val="24"/>
        </w:rPr>
        <w:t xml:space="preserve">2016 RWC hired </w:t>
      </w:r>
      <w:r w:rsidR="0014058E">
        <w:rPr>
          <w:rFonts w:cs="Calibri"/>
          <w:sz w:val="24"/>
          <w:szCs w:val="24"/>
        </w:rPr>
        <w:t>three</w:t>
      </w:r>
      <w:r w:rsidR="00561109" w:rsidRPr="00410BFC">
        <w:rPr>
          <w:rFonts w:cs="Calibri"/>
          <w:sz w:val="24"/>
          <w:szCs w:val="24"/>
        </w:rPr>
        <w:t xml:space="preserve"> seasonal dispatchers.</w:t>
      </w:r>
    </w:p>
    <w:p w:rsidR="00740D1D" w:rsidRPr="00410BFC" w:rsidRDefault="00740D1D" w:rsidP="00D96DAC">
      <w:pPr>
        <w:spacing w:after="0"/>
        <w:rPr>
          <w:rFonts w:cs="Calibri"/>
          <w:sz w:val="24"/>
          <w:szCs w:val="24"/>
        </w:rPr>
      </w:pPr>
    </w:p>
    <w:p w:rsidR="00D83E3C" w:rsidRPr="00410BFC" w:rsidRDefault="005D3A66" w:rsidP="00D96DAC">
      <w:pPr>
        <w:spacing w:after="0"/>
        <w:rPr>
          <w:rFonts w:cs="Calibri"/>
          <w:sz w:val="24"/>
          <w:szCs w:val="24"/>
        </w:rPr>
      </w:pPr>
      <w:r>
        <w:rPr>
          <w:rFonts w:cs="Calibri"/>
          <w:sz w:val="24"/>
          <w:szCs w:val="24"/>
        </w:rPr>
        <w:t>The dispatch zone</w:t>
      </w:r>
      <w:r w:rsidR="00561109" w:rsidRPr="00410BFC">
        <w:rPr>
          <w:rFonts w:cs="Calibri"/>
          <w:sz w:val="24"/>
          <w:szCs w:val="24"/>
        </w:rPr>
        <w:t xml:space="preserve"> covers approximately 21 million acres in the state of Wyoming. 48% of this land is owned by the Federal Government</w:t>
      </w:r>
      <w:r w:rsidR="00D83E3C" w:rsidRPr="00410BFC">
        <w:rPr>
          <w:rFonts w:cs="Calibri"/>
          <w:sz w:val="24"/>
          <w:szCs w:val="24"/>
        </w:rPr>
        <w:t xml:space="preserve"> (approximately 10 million acres)</w:t>
      </w:r>
      <w:r w:rsidR="00561109" w:rsidRPr="00410BFC">
        <w:rPr>
          <w:rFonts w:cs="Calibri"/>
          <w:sz w:val="24"/>
          <w:szCs w:val="24"/>
        </w:rPr>
        <w:t>.</w:t>
      </w:r>
      <w:r w:rsidR="00D83E3C" w:rsidRPr="00410BFC">
        <w:rPr>
          <w:rFonts w:cs="Calibri"/>
          <w:sz w:val="24"/>
          <w:szCs w:val="24"/>
        </w:rPr>
        <w:t xml:space="preserve"> A large percent of </w:t>
      </w:r>
      <w:r w:rsidR="004F2D86">
        <w:rPr>
          <w:rFonts w:cs="Calibri"/>
          <w:sz w:val="24"/>
          <w:szCs w:val="24"/>
        </w:rPr>
        <w:t xml:space="preserve">the </w:t>
      </w:r>
      <w:r w:rsidR="00D83E3C" w:rsidRPr="00410BFC">
        <w:rPr>
          <w:rFonts w:cs="Calibri"/>
          <w:sz w:val="24"/>
          <w:szCs w:val="24"/>
        </w:rPr>
        <w:t>High Desert District is checkerboard due to the Union Pacific Railroad that runs through Southern Wyoming. This type of land ownership is cause for</w:t>
      </w:r>
      <w:r w:rsidR="00265B51">
        <w:rPr>
          <w:rFonts w:cs="Calibri"/>
          <w:sz w:val="24"/>
          <w:szCs w:val="24"/>
        </w:rPr>
        <w:t xml:space="preserve"> a</w:t>
      </w:r>
      <w:r w:rsidR="00D83E3C" w:rsidRPr="00410BFC">
        <w:rPr>
          <w:rFonts w:cs="Calibri"/>
          <w:sz w:val="24"/>
          <w:szCs w:val="24"/>
        </w:rPr>
        <w:t xml:space="preserve"> multiple agency response to incidents throughout the District.</w:t>
      </w:r>
    </w:p>
    <w:p w:rsidR="00DD2DBB" w:rsidRDefault="00DD2DBB" w:rsidP="00D96DAC">
      <w:pPr>
        <w:spacing w:after="0"/>
        <w:jc w:val="center"/>
        <w:rPr>
          <w:rFonts w:cs="Calibri"/>
          <w:b/>
          <w:sz w:val="28"/>
          <w:szCs w:val="28"/>
        </w:rPr>
      </w:pPr>
    </w:p>
    <w:p w:rsidR="006D596D" w:rsidRDefault="006D596D" w:rsidP="00D96DAC">
      <w:pPr>
        <w:spacing w:after="0"/>
        <w:jc w:val="center"/>
        <w:rPr>
          <w:rFonts w:cs="Calibri"/>
          <w:b/>
          <w:sz w:val="28"/>
          <w:szCs w:val="28"/>
        </w:rPr>
      </w:pPr>
      <w:r>
        <w:rPr>
          <w:rFonts w:cs="Calibri"/>
          <w:b/>
          <w:sz w:val="28"/>
          <w:szCs w:val="28"/>
        </w:rPr>
        <w:t>Center Funding</w:t>
      </w:r>
    </w:p>
    <w:p w:rsidR="00BD0743" w:rsidRDefault="006D596D" w:rsidP="006D596D">
      <w:pPr>
        <w:spacing w:after="0"/>
        <w:rPr>
          <w:rFonts w:cs="Calibri"/>
          <w:sz w:val="24"/>
          <w:szCs w:val="28"/>
        </w:rPr>
      </w:pPr>
      <w:r w:rsidRPr="006D596D">
        <w:rPr>
          <w:rFonts w:cs="Calibri"/>
          <w:sz w:val="24"/>
          <w:szCs w:val="28"/>
        </w:rPr>
        <w:t xml:space="preserve">Rawlins </w:t>
      </w:r>
      <w:r>
        <w:rPr>
          <w:rFonts w:cs="Calibri"/>
          <w:sz w:val="24"/>
          <w:szCs w:val="28"/>
        </w:rPr>
        <w:t>Dispatch Center is funded predominantly by the Bureau of Land Management through the High Desert District. This includes facility costs for the center as well as labor costs associated with staffing the center. All personnel are BLM funded employees, assigned to the High Desert District’s Fire Management program</w:t>
      </w:r>
      <w:r w:rsidR="00352D01">
        <w:rPr>
          <w:rFonts w:cs="Calibri"/>
          <w:sz w:val="24"/>
          <w:szCs w:val="28"/>
        </w:rPr>
        <w:t>.</w:t>
      </w:r>
    </w:p>
    <w:p w:rsidR="00352D01" w:rsidRDefault="00352D01" w:rsidP="006D596D">
      <w:pPr>
        <w:spacing w:after="0"/>
        <w:rPr>
          <w:rFonts w:cs="Calibri"/>
          <w:sz w:val="24"/>
          <w:szCs w:val="28"/>
        </w:rPr>
      </w:pPr>
    </w:p>
    <w:p w:rsidR="00E816F8" w:rsidRPr="002858D5" w:rsidRDefault="00071432" w:rsidP="00E816F8">
      <w:pPr>
        <w:spacing w:after="0"/>
        <w:jc w:val="center"/>
        <w:rPr>
          <w:rFonts w:cs="Calibri"/>
          <w:sz w:val="28"/>
          <w:szCs w:val="28"/>
        </w:rPr>
      </w:pPr>
      <w:r w:rsidRPr="002858D5">
        <w:rPr>
          <w:rFonts w:cs="Calibri"/>
          <w:b/>
          <w:sz w:val="28"/>
          <w:szCs w:val="28"/>
        </w:rPr>
        <w:t>Center Activity 2016</w:t>
      </w:r>
    </w:p>
    <w:p w:rsidR="00957F46" w:rsidRDefault="00957F46" w:rsidP="001142AB">
      <w:pPr>
        <w:spacing w:after="0"/>
        <w:rPr>
          <w:rFonts w:cs="Calibri"/>
          <w:color w:val="FF0000"/>
          <w:sz w:val="24"/>
          <w:szCs w:val="28"/>
        </w:rPr>
      </w:pPr>
      <w:r w:rsidRPr="00957F46">
        <w:rPr>
          <w:rFonts w:cs="Calibri"/>
          <w:sz w:val="24"/>
          <w:szCs w:val="28"/>
        </w:rPr>
        <w:t xml:space="preserve">On August 23, </w:t>
      </w:r>
      <w:r w:rsidR="00AE05FD" w:rsidRPr="00957F46">
        <w:rPr>
          <w:rFonts w:cs="Calibri"/>
          <w:sz w:val="24"/>
          <w:szCs w:val="28"/>
        </w:rPr>
        <w:t>201</w:t>
      </w:r>
      <w:r w:rsidRPr="00957F46">
        <w:rPr>
          <w:rFonts w:cs="Calibri"/>
          <w:sz w:val="24"/>
          <w:szCs w:val="28"/>
        </w:rPr>
        <w:t>5</w:t>
      </w:r>
      <w:r w:rsidR="00AE05FD" w:rsidRPr="00957F46">
        <w:rPr>
          <w:rFonts w:cs="Calibri"/>
          <w:sz w:val="24"/>
          <w:szCs w:val="28"/>
        </w:rPr>
        <w:t>, the Center M</w:t>
      </w:r>
      <w:r w:rsidR="00411AEB" w:rsidRPr="00957F46">
        <w:rPr>
          <w:rFonts w:cs="Calibri"/>
          <w:sz w:val="24"/>
          <w:szCs w:val="28"/>
        </w:rPr>
        <w:t xml:space="preserve">anager position </w:t>
      </w:r>
      <w:r w:rsidR="0097054A" w:rsidRPr="00957F46">
        <w:rPr>
          <w:rFonts w:cs="Calibri"/>
          <w:sz w:val="24"/>
          <w:szCs w:val="28"/>
        </w:rPr>
        <w:t xml:space="preserve">was filled with </w:t>
      </w:r>
      <w:r w:rsidRPr="00957F46">
        <w:rPr>
          <w:rFonts w:cs="Calibri"/>
          <w:sz w:val="24"/>
          <w:szCs w:val="28"/>
        </w:rPr>
        <w:t>Tina Flodeen</w:t>
      </w:r>
      <w:r w:rsidR="009A270F">
        <w:rPr>
          <w:rFonts w:cs="Calibri"/>
          <w:sz w:val="24"/>
          <w:szCs w:val="28"/>
        </w:rPr>
        <w:t>.</w:t>
      </w:r>
      <w:r w:rsidR="00071432">
        <w:rPr>
          <w:rFonts w:cs="Calibri"/>
          <w:sz w:val="24"/>
          <w:szCs w:val="28"/>
        </w:rPr>
        <w:t xml:space="preserve"> </w:t>
      </w:r>
      <w:r w:rsidR="009A270F">
        <w:rPr>
          <w:rFonts w:cs="Calibri"/>
          <w:sz w:val="24"/>
          <w:szCs w:val="28"/>
        </w:rPr>
        <w:t xml:space="preserve"> S</w:t>
      </w:r>
      <w:r w:rsidR="00071432">
        <w:rPr>
          <w:rFonts w:cs="Calibri"/>
          <w:sz w:val="24"/>
          <w:szCs w:val="28"/>
        </w:rPr>
        <w:t xml:space="preserve">he has since retired so the </w:t>
      </w:r>
      <w:r w:rsidR="00CD69F4">
        <w:rPr>
          <w:rFonts w:cs="Calibri"/>
          <w:sz w:val="24"/>
          <w:szCs w:val="28"/>
        </w:rPr>
        <w:t>CM position is once again vacant with no plans of filling the position due to the upcoming merger with Casper Dispatch.</w:t>
      </w:r>
    </w:p>
    <w:p w:rsidR="00957F46" w:rsidRDefault="00957F46" w:rsidP="001142AB">
      <w:pPr>
        <w:spacing w:after="0"/>
        <w:rPr>
          <w:rFonts w:cs="Calibri"/>
          <w:color w:val="FF0000"/>
          <w:sz w:val="24"/>
          <w:szCs w:val="28"/>
        </w:rPr>
      </w:pPr>
    </w:p>
    <w:p w:rsidR="001F5A55" w:rsidRDefault="00957F46" w:rsidP="001F5A55">
      <w:pPr>
        <w:spacing w:after="0"/>
        <w:rPr>
          <w:rFonts w:cs="Calibri"/>
          <w:sz w:val="24"/>
          <w:szCs w:val="28"/>
        </w:rPr>
      </w:pPr>
      <w:r w:rsidRPr="00F45FDE">
        <w:rPr>
          <w:rFonts w:cs="Calibri"/>
          <w:sz w:val="24"/>
          <w:szCs w:val="28"/>
        </w:rPr>
        <w:t>Staffing for the winter of 201</w:t>
      </w:r>
      <w:r w:rsidR="00071432">
        <w:rPr>
          <w:rFonts w:cs="Calibri"/>
          <w:sz w:val="24"/>
          <w:szCs w:val="28"/>
        </w:rPr>
        <w:t>6</w:t>
      </w:r>
      <w:r w:rsidR="00B110D5" w:rsidRPr="00F45FDE">
        <w:rPr>
          <w:rFonts w:cs="Calibri"/>
          <w:sz w:val="24"/>
          <w:szCs w:val="28"/>
        </w:rPr>
        <w:t xml:space="preserve"> included, Center Manager </w:t>
      </w:r>
      <w:r w:rsidRPr="00F45FDE">
        <w:rPr>
          <w:rFonts w:cs="Calibri"/>
          <w:sz w:val="24"/>
          <w:szCs w:val="28"/>
        </w:rPr>
        <w:t>Tina Flodeen, Acting Center Manager/Assistant Center Mana</w:t>
      </w:r>
      <w:r w:rsidR="009A270F">
        <w:rPr>
          <w:rFonts w:cs="Calibri"/>
          <w:sz w:val="24"/>
          <w:szCs w:val="28"/>
        </w:rPr>
        <w:t>ger</w:t>
      </w:r>
      <w:r w:rsidR="002858D5">
        <w:rPr>
          <w:rFonts w:cs="Calibri"/>
          <w:sz w:val="24"/>
          <w:szCs w:val="28"/>
        </w:rPr>
        <w:t xml:space="preserve"> Gary Batchelder, Lead Dispatcher Brad Weller and Logistics Dispatcher Wendy Finnegan along with 3 </w:t>
      </w:r>
      <w:proofErr w:type="spellStart"/>
      <w:r w:rsidR="002858D5">
        <w:rPr>
          <w:rFonts w:cs="Calibri"/>
          <w:sz w:val="24"/>
          <w:szCs w:val="28"/>
        </w:rPr>
        <w:t>seasonals</w:t>
      </w:r>
      <w:proofErr w:type="spellEnd"/>
      <w:r w:rsidR="002858D5">
        <w:rPr>
          <w:rFonts w:cs="Calibri"/>
          <w:sz w:val="24"/>
          <w:szCs w:val="28"/>
        </w:rPr>
        <w:t>.</w:t>
      </w:r>
    </w:p>
    <w:p w:rsidR="001F5A55" w:rsidRDefault="001F5A55">
      <w:pPr>
        <w:spacing w:after="0" w:line="240" w:lineRule="auto"/>
        <w:rPr>
          <w:rFonts w:cs="Calibri"/>
          <w:sz w:val="24"/>
          <w:szCs w:val="28"/>
        </w:rPr>
      </w:pPr>
      <w:r>
        <w:rPr>
          <w:rFonts w:cs="Calibri"/>
          <w:sz w:val="24"/>
          <w:szCs w:val="28"/>
        </w:rPr>
        <w:br w:type="page"/>
      </w:r>
    </w:p>
    <w:p w:rsidR="002858D5" w:rsidRPr="00F45FDE" w:rsidRDefault="001F5A55" w:rsidP="001F5A55">
      <w:pPr>
        <w:spacing w:after="0"/>
        <w:rPr>
          <w:rFonts w:cs="Calibri"/>
          <w:sz w:val="24"/>
          <w:szCs w:val="28"/>
        </w:rPr>
      </w:pPr>
      <w:r w:rsidRPr="00F45FDE">
        <w:rPr>
          <w:rFonts w:cs="Calibri"/>
          <w:sz w:val="24"/>
          <w:szCs w:val="28"/>
        </w:rPr>
        <w:lastRenderedPageBreak/>
        <w:t xml:space="preserve"> </w:t>
      </w:r>
    </w:p>
    <w:p w:rsidR="00D16C62" w:rsidRDefault="00D16C62" w:rsidP="00D16C62">
      <w:pPr>
        <w:jc w:val="center"/>
        <w:rPr>
          <w:rFonts w:cs="Calibri"/>
          <w:sz w:val="24"/>
          <w:szCs w:val="24"/>
        </w:rPr>
      </w:pPr>
      <w:r w:rsidRPr="00D16C62">
        <w:rPr>
          <w:rFonts w:cs="Calibri"/>
          <w:b/>
          <w:sz w:val="28"/>
          <w:szCs w:val="28"/>
        </w:rPr>
        <w:t>Fire Activity</w:t>
      </w:r>
    </w:p>
    <w:p w:rsidR="00D16C62" w:rsidRDefault="00D16C62" w:rsidP="00D16C62">
      <w:pPr>
        <w:rPr>
          <w:rFonts w:cs="Calibri"/>
          <w:sz w:val="24"/>
          <w:szCs w:val="24"/>
        </w:rPr>
      </w:pPr>
      <w:r>
        <w:rPr>
          <w:rFonts w:cs="Calibri"/>
          <w:sz w:val="24"/>
          <w:szCs w:val="24"/>
        </w:rPr>
        <w:t>RWC saw a below average fire season with a total of 95 fires,</w:t>
      </w:r>
      <w:r w:rsidR="00251735">
        <w:rPr>
          <w:rFonts w:cs="Calibri"/>
          <w:sz w:val="24"/>
          <w:szCs w:val="24"/>
        </w:rPr>
        <w:t xml:space="preserve"> (both human and natural starts) </w:t>
      </w:r>
      <w:r w:rsidR="000E051A">
        <w:rPr>
          <w:rFonts w:cs="Calibri"/>
          <w:sz w:val="24"/>
          <w:szCs w:val="24"/>
        </w:rPr>
        <w:t>for a total of</w:t>
      </w:r>
      <w:r w:rsidR="00251735">
        <w:rPr>
          <w:rFonts w:cs="Calibri"/>
          <w:sz w:val="24"/>
          <w:szCs w:val="24"/>
        </w:rPr>
        <w:t xml:space="preserve"> 2697ac.  Our 8 year average is 9089ac.  Summer of 2012 saw total acreage of 51464 so that pushes the average high. </w:t>
      </w:r>
      <w:r w:rsidR="000E051A">
        <w:rPr>
          <w:rFonts w:cs="Calibri"/>
          <w:sz w:val="24"/>
          <w:szCs w:val="24"/>
        </w:rPr>
        <w:t xml:space="preserve"> </w:t>
      </w:r>
      <w:r w:rsidR="00251735">
        <w:rPr>
          <w:rFonts w:cs="Calibri"/>
          <w:sz w:val="24"/>
          <w:szCs w:val="24"/>
        </w:rPr>
        <w:t>The average excluding 2012 is 3035 making 2016 closer to the norm.</w:t>
      </w:r>
      <w:r>
        <w:rPr>
          <w:rFonts w:cs="Calibri"/>
          <w:sz w:val="24"/>
          <w:szCs w:val="24"/>
        </w:rPr>
        <w:t xml:space="preserve">  The surrounding center had above average centers so a majority of the summer was spent in support of those centers.  </w:t>
      </w:r>
    </w:p>
    <w:p w:rsidR="00D16C62" w:rsidRDefault="00D16C62" w:rsidP="00D16C62">
      <w:pPr>
        <w:rPr>
          <w:rFonts w:cs="Calibri"/>
          <w:sz w:val="24"/>
          <w:szCs w:val="24"/>
        </w:rPr>
      </w:pPr>
      <w:r>
        <w:rPr>
          <w:rFonts w:cs="Calibri"/>
          <w:sz w:val="24"/>
          <w:szCs w:val="24"/>
        </w:rPr>
        <w:t>Noteworthy fires:</w:t>
      </w:r>
    </w:p>
    <w:p w:rsidR="001F5A55" w:rsidRDefault="00D16C62" w:rsidP="00D16C62">
      <w:pPr>
        <w:rPr>
          <w:rFonts w:cs="Calibri"/>
          <w:sz w:val="24"/>
          <w:szCs w:val="24"/>
        </w:rPr>
      </w:pPr>
      <w:r>
        <w:rPr>
          <w:rFonts w:cs="Calibri"/>
          <w:sz w:val="24"/>
          <w:szCs w:val="24"/>
        </w:rPr>
        <w:tab/>
        <w:t>Tokewanna – Type 2 fire, Team Black assigned, human start, total of 1275</w:t>
      </w:r>
      <w:r w:rsidR="001F5A55">
        <w:rPr>
          <w:rFonts w:cs="Calibri"/>
          <w:sz w:val="24"/>
          <w:szCs w:val="24"/>
        </w:rPr>
        <w:t xml:space="preserve">ac, 355 on BLM 923 on private. </w:t>
      </w:r>
    </w:p>
    <w:p w:rsidR="00D16C62" w:rsidRDefault="00D16C62" w:rsidP="001F5A55">
      <w:pPr>
        <w:ind w:firstLine="720"/>
        <w:rPr>
          <w:rFonts w:cs="Calibri"/>
          <w:sz w:val="24"/>
          <w:szCs w:val="24"/>
        </w:rPr>
      </w:pPr>
      <w:proofErr w:type="gramStart"/>
      <w:r>
        <w:rPr>
          <w:rFonts w:cs="Calibri"/>
          <w:sz w:val="24"/>
          <w:szCs w:val="24"/>
        </w:rPr>
        <w:t xml:space="preserve">Book Out – Type </w:t>
      </w:r>
      <w:r w:rsidR="000E051A">
        <w:rPr>
          <w:rFonts w:cs="Calibri"/>
          <w:sz w:val="24"/>
          <w:szCs w:val="24"/>
        </w:rPr>
        <w:t>3 fire local T3 team assigned, natural</w:t>
      </w:r>
      <w:r>
        <w:rPr>
          <w:rFonts w:cs="Calibri"/>
          <w:sz w:val="24"/>
          <w:szCs w:val="24"/>
        </w:rPr>
        <w:t xml:space="preserve"> start</w:t>
      </w:r>
      <w:r w:rsidR="000E051A">
        <w:rPr>
          <w:rFonts w:cs="Calibri"/>
          <w:sz w:val="24"/>
          <w:szCs w:val="24"/>
        </w:rPr>
        <w:t>, total of 82ac, 35 on BLM 47 on private.</w:t>
      </w:r>
      <w:proofErr w:type="gramEnd"/>
    </w:p>
    <w:p w:rsidR="000E051A" w:rsidRDefault="000C3973" w:rsidP="00D92707">
      <w:pPr>
        <w:jc w:val="center"/>
        <w:rPr>
          <w:rFonts w:cs="Calibri"/>
          <w:sz w:val="24"/>
          <w:szCs w:val="24"/>
        </w:rPr>
      </w:pPr>
      <w:r>
        <w:rPr>
          <w:noProof/>
        </w:rPr>
        <w:drawing>
          <wp:inline distT="0" distB="0" distL="0" distR="0" wp14:anchorId="5AA62C75" wp14:editId="34046DEE">
            <wp:extent cx="4063117" cy="2043486"/>
            <wp:effectExtent l="0" t="0" r="13970" b="13970"/>
            <wp:docPr id="1" name="Chart 1" title="Chart of Number of Human Caused fires by year, 2009-2016 w/ 8 year aver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E051A" w:rsidRPr="00D16C62" w:rsidRDefault="000E051A" w:rsidP="00D16C62">
      <w:pPr>
        <w:rPr>
          <w:rFonts w:cs="Calibri"/>
          <w:sz w:val="24"/>
          <w:szCs w:val="24"/>
        </w:rPr>
      </w:pPr>
    </w:p>
    <w:p w:rsidR="008E28AF" w:rsidRPr="00D92707" w:rsidRDefault="000E051A" w:rsidP="00D92707">
      <w:pPr>
        <w:jc w:val="center"/>
        <w:rPr>
          <w:rFonts w:cs="Calibri"/>
          <w:sz w:val="28"/>
          <w:szCs w:val="24"/>
        </w:rPr>
      </w:pPr>
      <w:r w:rsidRPr="00D92707">
        <w:rPr>
          <w:noProof/>
          <w:sz w:val="24"/>
        </w:rPr>
        <w:drawing>
          <wp:inline distT="0" distB="0" distL="0" distR="0" wp14:anchorId="16CBBDEE" wp14:editId="21420E95">
            <wp:extent cx="4707172" cy="2218414"/>
            <wp:effectExtent l="0" t="0" r="17780" b="10795"/>
            <wp:docPr id="4" name="Chart 4" title="Chart of Number of Human Caused fire acres by year, 2009-2016 w/ 8 year aver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E051A" w:rsidRDefault="000E051A" w:rsidP="00EA19C3">
      <w:pPr>
        <w:rPr>
          <w:rFonts w:cs="Calibri"/>
          <w:sz w:val="24"/>
          <w:szCs w:val="24"/>
        </w:rPr>
      </w:pPr>
    </w:p>
    <w:p w:rsidR="000E051A" w:rsidRDefault="000E051A" w:rsidP="00D92707">
      <w:pPr>
        <w:jc w:val="center"/>
        <w:rPr>
          <w:rFonts w:cs="Calibri"/>
          <w:sz w:val="24"/>
          <w:szCs w:val="24"/>
        </w:rPr>
      </w:pPr>
      <w:r>
        <w:rPr>
          <w:noProof/>
        </w:rPr>
        <w:drawing>
          <wp:inline distT="0" distB="0" distL="0" distR="0" wp14:anchorId="37C14716" wp14:editId="465AD10F">
            <wp:extent cx="4285753" cy="2560320"/>
            <wp:effectExtent l="0" t="0" r="19685" b="11430"/>
            <wp:docPr id="7" name="Chart 7" title="Chart of Number of natural fires by year, 2009-2016 w/ 8 year aver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E28AF" w:rsidRDefault="008E28AF" w:rsidP="00EA19C3">
      <w:pPr>
        <w:rPr>
          <w:rFonts w:cs="Calibri"/>
          <w:sz w:val="24"/>
          <w:szCs w:val="24"/>
        </w:rPr>
      </w:pPr>
    </w:p>
    <w:p w:rsidR="008E28AF" w:rsidRDefault="000C3973" w:rsidP="00D92707">
      <w:pPr>
        <w:jc w:val="center"/>
        <w:rPr>
          <w:rFonts w:cs="Calibri"/>
          <w:sz w:val="24"/>
          <w:szCs w:val="24"/>
        </w:rPr>
      </w:pPr>
      <w:r>
        <w:rPr>
          <w:noProof/>
        </w:rPr>
        <w:drawing>
          <wp:inline distT="0" distB="0" distL="0" distR="0" wp14:anchorId="3440B828" wp14:editId="31E5B039">
            <wp:extent cx="4214191" cy="3180522"/>
            <wp:effectExtent l="0" t="0" r="15240" b="20320"/>
            <wp:docPr id="9" name="Chart 9" title="Chart of Number of lightning caused fires by year, 2009-2016 w/ 8 year aver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E28AF" w:rsidRDefault="008E28AF" w:rsidP="00EA19C3">
      <w:pPr>
        <w:rPr>
          <w:rFonts w:cs="Calibri"/>
          <w:sz w:val="24"/>
          <w:szCs w:val="24"/>
        </w:rPr>
      </w:pPr>
    </w:p>
    <w:p w:rsidR="008E28AF" w:rsidRDefault="00251735" w:rsidP="00D92707">
      <w:pPr>
        <w:jc w:val="center"/>
        <w:rPr>
          <w:rFonts w:cs="Calibri"/>
          <w:sz w:val="24"/>
          <w:szCs w:val="24"/>
        </w:rPr>
      </w:pPr>
      <w:r>
        <w:rPr>
          <w:noProof/>
        </w:rPr>
        <w:lastRenderedPageBreak/>
        <w:drawing>
          <wp:inline distT="0" distB="0" distL="0" distR="0" wp14:anchorId="2D2ECBA3" wp14:editId="76B54750">
            <wp:extent cx="4420925" cy="2647784"/>
            <wp:effectExtent l="0" t="0" r="17780" b="19685"/>
            <wp:docPr id="10" name="Chart 10" title="Chart of total fires by year, 2009-2016 w/ 8 year aver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51735" w:rsidRDefault="00251735" w:rsidP="00D92707">
      <w:pPr>
        <w:jc w:val="center"/>
        <w:rPr>
          <w:rFonts w:cs="Calibri"/>
          <w:sz w:val="24"/>
          <w:szCs w:val="24"/>
        </w:rPr>
      </w:pPr>
      <w:r>
        <w:rPr>
          <w:noProof/>
        </w:rPr>
        <w:drawing>
          <wp:inline distT="0" distB="0" distL="0" distR="0" wp14:anchorId="31727EEB" wp14:editId="78AE934A">
            <wp:extent cx="4420925" cy="2345635"/>
            <wp:effectExtent l="0" t="0" r="17780" b="17145"/>
            <wp:docPr id="12" name="Chart 12" title="Chart of total acres burned by year, 2009-2016 w/ 8 year aver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E28AF" w:rsidRDefault="000C3973" w:rsidP="000C3973">
      <w:pPr>
        <w:jc w:val="center"/>
        <w:rPr>
          <w:rFonts w:cs="Calibri"/>
          <w:b/>
          <w:sz w:val="28"/>
          <w:szCs w:val="28"/>
        </w:rPr>
      </w:pPr>
      <w:r w:rsidRPr="000C3973">
        <w:rPr>
          <w:rFonts w:cs="Calibri"/>
          <w:b/>
          <w:sz w:val="28"/>
          <w:szCs w:val="28"/>
        </w:rPr>
        <w:t>Fires by Unit</w:t>
      </w:r>
    </w:p>
    <w:p w:rsidR="000C3973" w:rsidRPr="000C3973" w:rsidRDefault="007C68BD" w:rsidP="00D92707">
      <w:pPr>
        <w:jc w:val="center"/>
        <w:rPr>
          <w:rFonts w:cs="Calibri"/>
          <w:b/>
          <w:sz w:val="28"/>
          <w:szCs w:val="28"/>
        </w:rPr>
      </w:pPr>
      <w:r>
        <w:rPr>
          <w:noProof/>
        </w:rPr>
        <w:drawing>
          <wp:inline distT="0" distB="0" distL="0" distR="0" wp14:anchorId="3100755F" wp14:editId="0F859C53">
            <wp:extent cx="3713259" cy="2449002"/>
            <wp:effectExtent l="0" t="0" r="20955" b="27940"/>
            <wp:docPr id="13" name="Chart 13" title="Chart of Number of fires by unit"/>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E28AF" w:rsidRDefault="007C68BD" w:rsidP="00D92707">
      <w:pPr>
        <w:jc w:val="center"/>
        <w:rPr>
          <w:rFonts w:cs="Calibri"/>
          <w:sz w:val="24"/>
          <w:szCs w:val="24"/>
        </w:rPr>
      </w:pPr>
      <w:r>
        <w:rPr>
          <w:noProof/>
        </w:rPr>
        <w:lastRenderedPageBreak/>
        <w:drawing>
          <wp:inline distT="0" distB="0" distL="0" distR="0" wp14:anchorId="51552308" wp14:editId="5A3C76BA">
            <wp:extent cx="3713259" cy="2456953"/>
            <wp:effectExtent l="0" t="0" r="20955" b="19685"/>
            <wp:docPr id="14" name="Chart 14" title="Chart of number of acres burned by unit"/>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E28AF" w:rsidRDefault="008E28AF" w:rsidP="00EA19C3">
      <w:pPr>
        <w:rPr>
          <w:rFonts w:cs="Calibri"/>
          <w:sz w:val="24"/>
          <w:szCs w:val="24"/>
        </w:rPr>
      </w:pPr>
    </w:p>
    <w:p w:rsidR="00704DE7" w:rsidRDefault="007C68BD" w:rsidP="00D92707">
      <w:pPr>
        <w:jc w:val="center"/>
        <w:rPr>
          <w:rFonts w:cs="Calibri"/>
          <w:sz w:val="24"/>
          <w:szCs w:val="24"/>
        </w:rPr>
      </w:pPr>
      <w:r>
        <w:rPr>
          <w:noProof/>
        </w:rPr>
        <w:drawing>
          <wp:inline distT="0" distB="0" distL="0" distR="0" wp14:anchorId="017F7801" wp14:editId="26C6C1C6">
            <wp:extent cx="4572000" cy="2743200"/>
            <wp:effectExtent l="0" t="0" r="19050" b="19050"/>
            <wp:docPr id="15" name="Chart 15" title="Chart of Number of natural fires by uni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04DE7" w:rsidRDefault="00704DE7" w:rsidP="00EA19C3">
      <w:pPr>
        <w:rPr>
          <w:rFonts w:cs="Calibri"/>
          <w:sz w:val="24"/>
          <w:szCs w:val="24"/>
        </w:rPr>
      </w:pPr>
    </w:p>
    <w:p w:rsidR="00704DE7" w:rsidRDefault="007C68BD" w:rsidP="00D92707">
      <w:pPr>
        <w:jc w:val="center"/>
        <w:rPr>
          <w:rFonts w:cs="Calibri"/>
          <w:sz w:val="24"/>
          <w:szCs w:val="24"/>
        </w:rPr>
      </w:pPr>
      <w:r>
        <w:rPr>
          <w:noProof/>
        </w:rPr>
        <w:lastRenderedPageBreak/>
        <w:drawing>
          <wp:inline distT="0" distB="0" distL="0" distR="0" wp14:anchorId="4E61C5AA" wp14:editId="5AA549A0">
            <wp:extent cx="4572000" cy="2743200"/>
            <wp:effectExtent l="0" t="0" r="19050" b="19050"/>
            <wp:docPr id="17" name="Chart 17" title="Chart of Number of naturally burned acres by unit"/>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04DE7" w:rsidRPr="007C68BD" w:rsidRDefault="007C68BD" w:rsidP="007C68BD">
      <w:pPr>
        <w:jc w:val="center"/>
        <w:rPr>
          <w:rFonts w:cs="Calibri"/>
          <w:b/>
          <w:sz w:val="28"/>
          <w:szCs w:val="28"/>
        </w:rPr>
      </w:pPr>
      <w:r>
        <w:rPr>
          <w:rFonts w:cs="Calibri"/>
          <w:b/>
          <w:sz w:val="28"/>
          <w:szCs w:val="28"/>
        </w:rPr>
        <w:t>Total Acreage of Human and Natural Starts</w:t>
      </w:r>
    </w:p>
    <w:p w:rsidR="003A2DFF" w:rsidRDefault="007C68BD" w:rsidP="00D92707">
      <w:pPr>
        <w:jc w:val="center"/>
        <w:rPr>
          <w:rFonts w:cs="Calibri"/>
          <w:sz w:val="24"/>
          <w:szCs w:val="24"/>
        </w:rPr>
      </w:pPr>
      <w:r>
        <w:rPr>
          <w:noProof/>
        </w:rPr>
        <w:drawing>
          <wp:inline distT="0" distB="0" distL="0" distR="0" wp14:anchorId="0399F3AE" wp14:editId="7FE58D44">
            <wp:extent cx="4572000" cy="2743200"/>
            <wp:effectExtent l="0" t="0" r="19050" b="19050"/>
            <wp:docPr id="21" name="Chart 21" title="Chart describing number of total fires by ownership area"/>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04DE7" w:rsidRDefault="007C68BD" w:rsidP="00D92707">
      <w:pPr>
        <w:jc w:val="center"/>
        <w:rPr>
          <w:rFonts w:cs="Calibri"/>
          <w:sz w:val="24"/>
          <w:szCs w:val="24"/>
        </w:rPr>
      </w:pPr>
      <w:r>
        <w:rPr>
          <w:noProof/>
        </w:rPr>
        <w:lastRenderedPageBreak/>
        <w:drawing>
          <wp:inline distT="0" distB="0" distL="0" distR="0" wp14:anchorId="44251CC5" wp14:editId="0C367FCE">
            <wp:extent cx="4572000" cy="2743200"/>
            <wp:effectExtent l="0" t="0" r="19050" b="19050"/>
            <wp:docPr id="22" name="Chart 22" title="Chart describing acres burned by ownership"/>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F5A55" w:rsidRDefault="001F5A55">
      <w:pPr>
        <w:spacing w:after="0" w:line="240" w:lineRule="auto"/>
        <w:rPr>
          <w:noProof/>
          <w:sz w:val="28"/>
          <w:szCs w:val="28"/>
        </w:rPr>
      </w:pPr>
      <w:r>
        <w:rPr>
          <w:noProof/>
          <w:sz w:val="28"/>
          <w:szCs w:val="28"/>
        </w:rPr>
        <w:br w:type="page"/>
      </w:r>
    </w:p>
    <w:p w:rsidR="00394F26" w:rsidRDefault="00394F26" w:rsidP="00394F26">
      <w:pPr>
        <w:jc w:val="center"/>
        <w:rPr>
          <w:noProof/>
          <w:sz w:val="28"/>
          <w:szCs w:val="28"/>
        </w:rPr>
      </w:pPr>
      <w:r>
        <w:rPr>
          <w:noProof/>
          <w:sz w:val="28"/>
          <w:szCs w:val="28"/>
        </w:rPr>
        <w:lastRenderedPageBreak/>
        <w:t>Weather</w:t>
      </w:r>
    </w:p>
    <w:p w:rsidR="00394F26" w:rsidRDefault="00394F26" w:rsidP="00394F26">
      <w:pPr>
        <w:rPr>
          <w:noProof/>
          <w:sz w:val="24"/>
          <w:szCs w:val="24"/>
        </w:rPr>
      </w:pPr>
      <w:r>
        <w:rPr>
          <w:noProof/>
          <w:sz w:val="24"/>
          <w:szCs w:val="24"/>
        </w:rPr>
        <w:t>In 2015 RWC saw 45 Red Flag Warning Days and 20 Fire Weather Watches.  The first Red Flag Warning was issued Febuary 26</w:t>
      </w:r>
      <w:r w:rsidR="00111847">
        <w:rPr>
          <w:noProof/>
          <w:sz w:val="24"/>
          <w:szCs w:val="24"/>
          <w:vertAlign w:val="superscript"/>
        </w:rPr>
        <w:t>th</w:t>
      </w:r>
      <w:r>
        <w:rPr>
          <w:noProof/>
          <w:sz w:val="24"/>
          <w:szCs w:val="24"/>
        </w:rPr>
        <w:t xml:space="preserve"> for south eastern Wyoming</w:t>
      </w:r>
      <w:r w:rsidR="00111847">
        <w:rPr>
          <w:noProof/>
          <w:sz w:val="24"/>
          <w:szCs w:val="24"/>
        </w:rPr>
        <w:t xml:space="preserve"> or zone 310</w:t>
      </w:r>
      <w:r>
        <w:rPr>
          <w:noProof/>
          <w:sz w:val="24"/>
          <w:szCs w:val="24"/>
        </w:rPr>
        <w:t>.</w:t>
      </w:r>
      <w:r w:rsidR="00111847">
        <w:rPr>
          <w:noProof/>
          <w:sz w:val="24"/>
          <w:szCs w:val="24"/>
        </w:rPr>
        <w:t xml:space="preserve">  The last Red Flag Warning was issued on November 16</w:t>
      </w:r>
      <w:r w:rsidR="00111847">
        <w:rPr>
          <w:noProof/>
          <w:sz w:val="24"/>
          <w:szCs w:val="24"/>
          <w:vertAlign w:val="superscript"/>
        </w:rPr>
        <w:t>th</w:t>
      </w:r>
      <w:r w:rsidR="00111847">
        <w:rPr>
          <w:noProof/>
          <w:sz w:val="24"/>
          <w:szCs w:val="24"/>
        </w:rPr>
        <w:t xml:space="preserve"> for south eastern Wyoming in the Laramie area or zone 309.  2016 was a realitivly dry year with a average of 3.68” of moisture from the 5 RAWS stations.</w:t>
      </w:r>
    </w:p>
    <w:p w:rsidR="00111847" w:rsidRDefault="00111847" w:rsidP="00111847">
      <w:pPr>
        <w:jc w:val="center"/>
        <w:rPr>
          <w:noProof/>
          <w:sz w:val="24"/>
          <w:szCs w:val="24"/>
        </w:rPr>
      </w:pPr>
      <w:r>
        <w:rPr>
          <w:noProof/>
        </w:rPr>
        <w:drawing>
          <wp:inline distT="0" distB="0" distL="0" distR="0" wp14:anchorId="5A9CB075" wp14:editId="1CBF5376">
            <wp:extent cx="4572000" cy="2743200"/>
            <wp:effectExtent l="0" t="0" r="19050" b="19050"/>
            <wp:docPr id="23" name="Chart 23" title="Chart showing inches of precipitation recorded at Snow Spring Creek RAWS S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11847" w:rsidRPr="00111847" w:rsidRDefault="00111847" w:rsidP="00111847">
      <w:pPr>
        <w:jc w:val="center"/>
        <w:rPr>
          <w:noProof/>
          <w:sz w:val="24"/>
          <w:szCs w:val="24"/>
        </w:rPr>
      </w:pPr>
      <w:r>
        <w:rPr>
          <w:noProof/>
        </w:rPr>
        <w:drawing>
          <wp:inline distT="0" distB="0" distL="0" distR="0" wp14:anchorId="57AFD358" wp14:editId="65496CB0">
            <wp:extent cx="4572000" cy="2743200"/>
            <wp:effectExtent l="0" t="0" r="19050" b="19050"/>
            <wp:docPr id="24" name="Chart 24" title="Chart showing inches of precipitation recorded at Dodge Creek RAWS S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04DE7" w:rsidRDefault="00704DE7" w:rsidP="003A2DFF">
      <w:pPr>
        <w:jc w:val="center"/>
        <w:rPr>
          <w:noProof/>
        </w:rPr>
      </w:pPr>
    </w:p>
    <w:p w:rsidR="00704DE7" w:rsidRDefault="00111847" w:rsidP="003A2DFF">
      <w:pPr>
        <w:jc w:val="center"/>
        <w:rPr>
          <w:noProof/>
        </w:rPr>
      </w:pPr>
      <w:r>
        <w:rPr>
          <w:noProof/>
        </w:rPr>
        <w:lastRenderedPageBreak/>
        <w:drawing>
          <wp:inline distT="0" distB="0" distL="0" distR="0" wp14:anchorId="537429D9" wp14:editId="1490A05C">
            <wp:extent cx="4572000" cy="2743200"/>
            <wp:effectExtent l="0" t="0" r="19050" b="19050"/>
            <wp:docPr id="25" name="Chart 25" title="Chart showing inches of precipitation recorded at Muddy Creek RAWS S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11847" w:rsidRDefault="00111847" w:rsidP="00111847">
      <w:pPr>
        <w:jc w:val="center"/>
        <w:rPr>
          <w:noProof/>
        </w:rPr>
      </w:pPr>
      <w:r>
        <w:rPr>
          <w:noProof/>
        </w:rPr>
        <w:drawing>
          <wp:inline distT="0" distB="0" distL="0" distR="0" wp14:anchorId="417B5F56" wp14:editId="3505463A">
            <wp:extent cx="4572000" cy="2743200"/>
            <wp:effectExtent l="0" t="0" r="19050" b="19050"/>
            <wp:docPr id="26" name="Chart 26" title="Chart showing inches of precipitation recorded at Anderson Ridge RAWS S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11847" w:rsidRDefault="00111847" w:rsidP="00111847">
      <w:pPr>
        <w:jc w:val="center"/>
        <w:rPr>
          <w:noProof/>
        </w:rPr>
      </w:pPr>
      <w:r>
        <w:rPr>
          <w:noProof/>
        </w:rPr>
        <w:lastRenderedPageBreak/>
        <w:drawing>
          <wp:inline distT="0" distB="0" distL="0" distR="0" wp14:anchorId="624F22C6" wp14:editId="44AA4DD3">
            <wp:extent cx="4572000" cy="2743200"/>
            <wp:effectExtent l="0" t="0" r="19050" b="19050"/>
            <wp:docPr id="27" name="Chart 27" title="Chart showing inches of precipitation recorded at Cow Creek RAWS S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11847" w:rsidRDefault="00111847" w:rsidP="00111847">
      <w:pPr>
        <w:jc w:val="center"/>
        <w:rPr>
          <w:noProof/>
        </w:rPr>
      </w:pPr>
      <w:r>
        <w:rPr>
          <w:noProof/>
        </w:rPr>
        <w:drawing>
          <wp:inline distT="0" distB="0" distL="0" distR="0" wp14:anchorId="33AD3D82" wp14:editId="3CB3F848">
            <wp:extent cx="4572000" cy="2743200"/>
            <wp:effectExtent l="0" t="0" r="19050" b="19050"/>
            <wp:docPr id="28" name="Chart 28" title="Chart showing 7 year average of total precipitation recorded at all HDD RAWS S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F5A55" w:rsidRDefault="001F5A55">
      <w:pPr>
        <w:spacing w:after="0" w:line="240" w:lineRule="auto"/>
        <w:rPr>
          <w:noProof/>
        </w:rPr>
      </w:pPr>
      <w:r>
        <w:rPr>
          <w:noProof/>
        </w:rPr>
        <w:br w:type="page"/>
      </w:r>
    </w:p>
    <w:p w:rsidR="0065145E" w:rsidRPr="0065145E" w:rsidRDefault="0065145E" w:rsidP="0065145E">
      <w:pPr>
        <w:spacing w:after="0" w:line="240" w:lineRule="auto"/>
        <w:jc w:val="center"/>
        <w:rPr>
          <w:rFonts w:cs="Calibri"/>
          <w:b/>
          <w:sz w:val="32"/>
          <w:szCs w:val="32"/>
        </w:rPr>
      </w:pPr>
      <w:r w:rsidRPr="0065145E">
        <w:rPr>
          <w:rFonts w:cs="Calibri"/>
          <w:b/>
          <w:sz w:val="32"/>
          <w:szCs w:val="32"/>
        </w:rPr>
        <w:lastRenderedPageBreak/>
        <w:t>WILDCAD INCIDENTS BY TYPE</w:t>
      </w:r>
    </w:p>
    <w:p w:rsidR="0065145E" w:rsidRPr="0065145E" w:rsidRDefault="0065145E" w:rsidP="0065145E">
      <w:pPr>
        <w:spacing w:after="0" w:line="240" w:lineRule="auto"/>
        <w:jc w:val="center"/>
        <w:rPr>
          <w:rFonts w:cs="Calibri"/>
          <w:b/>
          <w:sz w:val="24"/>
          <w:szCs w:val="24"/>
        </w:rPr>
      </w:pPr>
    </w:p>
    <w:tbl>
      <w:tblPr>
        <w:tblStyle w:val="TableGrid"/>
        <w:tblW w:w="2131" w:type="dxa"/>
        <w:jc w:val="center"/>
        <w:tblLook w:val="04A0" w:firstRow="1" w:lastRow="0" w:firstColumn="1" w:lastColumn="0" w:noHBand="0" w:noVBand="1"/>
        <w:tblCaption w:val="Table showing wildland incidents by type."/>
      </w:tblPr>
      <w:tblGrid>
        <w:gridCol w:w="1609"/>
        <w:gridCol w:w="1128"/>
      </w:tblGrid>
      <w:tr w:rsidR="0065145E" w:rsidRPr="0065145E" w:rsidTr="001F5A55">
        <w:trPr>
          <w:trHeight w:val="62"/>
          <w:tblHeader/>
          <w:jc w:val="center"/>
        </w:trPr>
        <w:tc>
          <w:tcPr>
            <w:tcW w:w="0" w:type="auto"/>
            <w:shd w:val="clear" w:color="auto" w:fill="FF0000"/>
          </w:tcPr>
          <w:p w:rsidR="0065145E" w:rsidRPr="0065145E" w:rsidRDefault="0065145E" w:rsidP="0065145E">
            <w:pPr>
              <w:spacing w:after="0" w:line="240" w:lineRule="auto"/>
              <w:jc w:val="center"/>
              <w:rPr>
                <w:rFonts w:cs="Calibri"/>
                <w:b/>
                <w:sz w:val="24"/>
                <w:szCs w:val="24"/>
              </w:rPr>
            </w:pPr>
            <w:r w:rsidRPr="0065145E">
              <w:rPr>
                <w:rFonts w:cs="Calibri"/>
                <w:b/>
                <w:sz w:val="24"/>
                <w:szCs w:val="24"/>
              </w:rPr>
              <w:t>INCIDENT TYPE</w:t>
            </w:r>
          </w:p>
        </w:tc>
        <w:tc>
          <w:tcPr>
            <w:tcW w:w="0" w:type="auto"/>
            <w:shd w:val="clear" w:color="auto" w:fill="FF0000"/>
          </w:tcPr>
          <w:p w:rsidR="0065145E" w:rsidRPr="0065145E" w:rsidRDefault="0065145E" w:rsidP="0065145E">
            <w:pPr>
              <w:spacing w:after="0" w:line="240" w:lineRule="auto"/>
              <w:jc w:val="center"/>
              <w:rPr>
                <w:rFonts w:cs="Calibri"/>
                <w:b/>
                <w:sz w:val="24"/>
                <w:szCs w:val="24"/>
              </w:rPr>
            </w:pPr>
            <w:r w:rsidRPr="0065145E">
              <w:rPr>
                <w:rFonts w:cs="Calibri"/>
                <w:b/>
                <w:sz w:val="24"/>
                <w:szCs w:val="24"/>
              </w:rPr>
              <w:t>NUMBER</w:t>
            </w:r>
          </w:p>
        </w:tc>
      </w:tr>
      <w:tr w:rsidR="0065145E" w:rsidRPr="0065145E" w:rsidTr="004F5E01">
        <w:trPr>
          <w:trHeight w:val="62"/>
          <w:jc w:val="center"/>
        </w:trPr>
        <w:tc>
          <w:tcPr>
            <w:tcW w:w="0" w:type="auto"/>
          </w:tcPr>
          <w:p w:rsidR="0065145E" w:rsidRPr="0065145E" w:rsidRDefault="0065145E" w:rsidP="0065145E">
            <w:pPr>
              <w:spacing w:after="0" w:line="240" w:lineRule="auto"/>
              <w:jc w:val="center"/>
              <w:rPr>
                <w:rFonts w:cs="Calibri"/>
                <w:sz w:val="24"/>
                <w:szCs w:val="24"/>
              </w:rPr>
            </w:pPr>
            <w:r w:rsidRPr="0065145E">
              <w:rPr>
                <w:rFonts w:cs="Calibri"/>
                <w:sz w:val="24"/>
                <w:szCs w:val="24"/>
              </w:rPr>
              <w:t>Aircraft</w:t>
            </w:r>
          </w:p>
        </w:tc>
        <w:tc>
          <w:tcPr>
            <w:tcW w:w="0" w:type="auto"/>
          </w:tcPr>
          <w:p w:rsidR="0065145E" w:rsidRPr="0065145E" w:rsidRDefault="003732CB" w:rsidP="0065145E">
            <w:pPr>
              <w:spacing w:after="0" w:line="240" w:lineRule="auto"/>
              <w:jc w:val="center"/>
              <w:rPr>
                <w:rFonts w:cs="Calibri"/>
                <w:sz w:val="24"/>
                <w:szCs w:val="24"/>
              </w:rPr>
            </w:pPr>
            <w:r>
              <w:rPr>
                <w:rFonts w:cs="Calibri"/>
                <w:sz w:val="24"/>
                <w:szCs w:val="24"/>
              </w:rPr>
              <w:t>20</w:t>
            </w:r>
          </w:p>
        </w:tc>
      </w:tr>
      <w:tr w:rsidR="0065145E" w:rsidRPr="0065145E" w:rsidTr="004F5E01">
        <w:trPr>
          <w:trHeight w:val="62"/>
          <w:jc w:val="center"/>
        </w:trPr>
        <w:tc>
          <w:tcPr>
            <w:tcW w:w="0" w:type="auto"/>
          </w:tcPr>
          <w:p w:rsidR="0065145E" w:rsidRPr="0065145E" w:rsidRDefault="0065145E" w:rsidP="0065145E">
            <w:pPr>
              <w:spacing w:after="0" w:line="240" w:lineRule="auto"/>
              <w:jc w:val="center"/>
              <w:rPr>
                <w:rFonts w:cs="Calibri"/>
                <w:sz w:val="24"/>
                <w:szCs w:val="24"/>
              </w:rPr>
            </w:pPr>
            <w:r w:rsidRPr="0065145E">
              <w:rPr>
                <w:rFonts w:cs="Calibri"/>
                <w:sz w:val="24"/>
                <w:szCs w:val="24"/>
              </w:rPr>
              <w:t>Medical Aid</w:t>
            </w:r>
          </w:p>
        </w:tc>
        <w:tc>
          <w:tcPr>
            <w:tcW w:w="0" w:type="auto"/>
          </w:tcPr>
          <w:p w:rsidR="0065145E" w:rsidRPr="0065145E" w:rsidRDefault="00285C15" w:rsidP="0065145E">
            <w:pPr>
              <w:spacing w:after="0" w:line="240" w:lineRule="auto"/>
              <w:jc w:val="center"/>
              <w:rPr>
                <w:rFonts w:cs="Calibri"/>
                <w:sz w:val="24"/>
                <w:szCs w:val="24"/>
              </w:rPr>
            </w:pPr>
            <w:r>
              <w:rPr>
                <w:rFonts w:cs="Calibri"/>
                <w:sz w:val="24"/>
                <w:szCs w:val="24"/>
              </w:rPr>
              <w:t>6</w:t>
            </w:r>
          </w:p>
        </w:tc>
      </w:tr>
      <w:tr w:rsidR="0065145E" w:rsidRPr="0065145E" w:rsidTr="004F5E01">
        <w:trPr>
          <w:trHeight w:val="62"/>
          <w:jc w:val="center"/>
        </w:trPr>
        <w:tc>
          <w:tcPr>
            <w:tcW w:w="0" w:type="auto"/>
          </w:tcPr>
          <w:p w:rsidR="0065145E" w:rsidRPr="0065145E" w:rsidRDefault="0065145E" w:rsidP="0065145E">
            <w:pPr>
              <w:spacing w:after="0" w:line="240" w:lineRule="auto"/>
              <w:jc w:val="center"/>
              <w:rPr>
                <w:rFonts w:cs="Calibri"/>
                <w:sz w:val="24"/>
                <w:szCs w:val="24"/>
              </w:rPr>
            </w:pPr>
            <w:r w:rsidRPr="0065145E">
              <w:rPr>
                <w:rFonts w:cs="Calibri"/>
                <w:sz w:val="24"/>
                <w:szCs w:val="24"/>
              </w:rPr>
              <w:t>Miscellaneous</w:t>
            </w:r>
          </w:p>
        </w:tc>
        <w:tc>
          <w:tcPr>
            <w:tcW w:w="0" w:type="auto"/>
          </w:tcPr>
          <w:p w:rsidR="0065145E" w:rsidRPr="0065145E" w:rsidRDefault="00285C15" w:rsidP="0065145E">
            <w:pPr>
              <w:spacing w:after="0" w:line="240" w:lineRule="auto"/>
              <w:jc w:val="center"/>
              <w:rPr>
                <w:rFonts w:cs="Calibri"/>
                <w:sz w:val="24"/>
                <w:szCs w:val="24"/>
              </w:rPr>
            </w:pPr>
            <w:r>
              <w:rPr>
                <w:rFonts w:cs="Calibri"/>
                <w:sz w:val="24"/>
                <w:szCs w:val="24"/>
              </w:rPr>
              <w:t>72</w:t>
            </w:r>
          </w:p>
        </w:tc>
      </w:tr>
      <w:tr w:rsidR="0065145E" w:rsidRPr="0065145E" w:rsidTr="004F5E01">
        <w:trPr>
          <w:trHeight w:val="62"/>
          <w:jc w:val="center"/>
        </w:trPr>
        <w:tc>
          <w:tcPr>
            <w:tcW w:w="0" w:type="auto"/>
          </w:tcPr>
          <w:p w:rsidR="0065145E" w:rsidRPr="0065145E" w:rsidRDefault="0065145E" w:rsidP="0065145E">
            <w:pPr>
              <w:spacing w:after="0" w:line="240" w:lineRule="auto"/>
              <w:jc w:val="center"/>
              <w:rPr>
                <w:rFonts w:cs="Calibri"/>
                <w:sz w:val="24"/>
                <w:szCs w:val="24"/>
              </w:rPr>
            </w:pPr>
            <w:r w:rsidRPr="0065145E">
              <w:rPr>
                <w:rFonts w:cs="Calibri"/>
                <w:sz w:val="24"/>
                <w:szCs w:val="24"/>
              </w:rPr>
              <w:t>Prescribed Fire</w:t>
            </w:r>
          </w:p>
        </w:tc>
        <w:tc>
          <w:tcPr>
            <w:tcW w:w="0" w:type="auto"/>
          </w:tcPr>
          <w:p w:rsidR="0065145E" w:rsidRPr="0065145E" w:rsidRDefault="00285C15" w:rsidP="0065145E">
            <w:pPr>
              <w:spacing w:after="0" w:line="240" w:lineRule="auto"/>
              <w:jc w:val="center"/>
              <w:rPr>
                <w:rFonts w:cs="Calibri"/>
                <w:sz w:val="24"/>
                <w:szCs w:val="24"/>
              </w:rPr>
            </w:pPr>
            <w:r>
              <w:rPr>
                <w:rFonts w:cs="Calibri"/>
                <w:sz w:val="24"/>
                <w:szCs w:val="24"/>
              </w:rPr>
              <w:t xml:space="preserve"> </w:t>
            </w:r>
            <w:r w:rsidR="003732CB">
              <w:rPr>
                <w:rFonts w:cs="Calibri"/>
                <w:sz w:val="24"/>
                <w:szCs w:val="24"/>
              </w:rPr>
              <w:t>9</w:t>
            </w:r>
          </w:p>
        </w:tc>
      </w:tr>
      <w:tr w:rsidR="0065145E" w:rsidRPr="0065145E" w:rsidTr="004F5E01">
        <w:trPr>
          <w:trHeight w:val="62"/>
          <w:jc w:val="center"/>
        </w:trPr>
        <w:tc>
          <w:tcPr>
            <w:tcW w:w="0" w:type="auto"/>
          </w:tcPr>
          <w:p w:rsidR="0065145E" w:rsidRPr="0065145E" w:rsidRDefault="0065145E" w:rsidP="0065145E">
            <w:pPr>
              <w:spacing w:after="0" w:line="240" w:lineRule="auto"/>
              <w:jc w:val="center"/>
              <w:rPr>
                <w:rFonts w:cs="Calibri"/>
                <w:sz w:val="24"/>
                <w:szCs w:val="24"/>
              </w:rPr>
            </w:pPr>
            <w:r w:rsidRPr="0065145E">
              <w:rPr>
                <w:rFonts w:cs="Calibri"/>
                <w:sz w:val="24"/>
                <w:szCs w:val="24"/>
              </w:rPr>
              <w:t>Resource Order</w:t>
            </w:r>
          </w:p>
        </w:tc>
        <w:tc>
          <w:tcPr>
            <w:tcW w:w="0" w:type="auto"/>
          </w:tcPr>
          <w:p w:rsidR="0065145E" w:rsidRPr="0065145E" w:rsidRDefault="00285C15" w:rsidP="0065145E">
            <w:pPr>
              <w:spacing w:after="0" w:line="240" w:lineRule="auto"/>
              <w:jc w:val="center"/>
              <w:rPr>
                <w:rFonts w:cs="Calibri"/>
                <w:sz w:val="24"/>
                <w:szCs w:val="24"/>
              </w:rPr>
            </w:pPr>
            <w:r>
              <w:rPr>
                <w:rFonts w:cs="Calibri"/>
                <w:sz w:val="24"/>
                <w:szCs w:val="24"/>
              </w:rPr>
              <w:t>109</w:t>
            </w:r>
          </w:p>
        </w:tc>
      </w:tr>
      <w:tr w:rsidR="0065145E" w:rsidRPr="0065145E" w:rsidTr="004F5E01">
        <w:trPr>
          <w:trHeight w:val="62"/>
          <w:jc w:val="center"/>
        </w:trPr>
        <w:tc>
          <w:tcPr>
            <w:tcW w:w="0" w:type="auto"/>
          </w:tcPr>
          <w:p w:rsidR="0065145E" w:rsidRPr="0065145E" w:rsidRDefault="0065145E" w:rsidP="0065145E">
            <w:pPr>
              <w:spacing w:after="0" w:line="240" w:lineRule="auto"/>
              <w:jc w:val="center"/>
              <w:rPr>
                <w:rFonts w:cs="Calibri"/>
                <w:sz w:val="24"/>
                <w:szCs w:val="24"/>
              </w:rPr>
            </w:pPr>
            <w:r w:rsidRPr="0065145E">
              <w:rPr>
                <w:rFonts w:cs="Calibri"/>
                <w:sz w:val="24"/>
                <w:szCs w:val="24"/>
              </w:rPr>
              <w:t>SAR</w:t>
            </w:r>
          </w:p>
        </w:tc>
        <w:tc>
          <w:tcPr>
            <w:tcW w:w="0" w:type="auto"/>
          </w:tcPr>
          <w:p w:rsidR="0065145E" w:rsidRPr="0065145E" w:rsidRDefault="003732CB" w:rsidP="0065145E">
            <w:pPr>
              <w:spacing w:after="0" w:line="240" w:lineRule="auto"/>
              <w:jc w:val="center"/>
              <w:rPr>
                <w:rFonts w:cs="Calibri"/>
                <w:sz w:val="24"/>
                <w:szCs w:val="24"/>
              </w:rPr>
            </w:pPr>
            <w:r>
              <w:rPr>
                <w:rFonts w:cs="Calibri"/>
                <w:sz w:val="24"/>
                <w:szCs w:val="24"/>
              </w:rPr>
              <w:t>0</w:t>
            </w:r>
          </w:p>
        </w:tc>
      </w:tr>
      <w:tr w:rsidR="0065145E" w:rsidRPr="0065145E" w:rsidTr="004F5E01">
        <w:trPr>
          <w:trHeight w:val="62"/>
          <w:jc w:val="center"/>
        </w:trPr>
        <w:tc>
          <w:tcPr>
            <w:tcW w:w="0" w:type="auto"/>
          </w:tcPr>
          <w:p w:rsidR="0065145E" w:rsidRPr="0065145E" w:rsidRDefault="0065145E" w:rsidP="0065145E">
            <w:pPr>
              <w:spacing w:after="0" w:line="240" w:lineRule="auto"/>
              <w:jc w:val="center"/>
              <w:rPr>
                <w:rFonts w:cs="Calibri"/>
                <w:sz w:val="24"/>
                <w:szCs w:val="24"/>
              </w:rPr>
            </w:pPr>
            <w:r w:rsidRPr="0065145E">
              <w:rPr>
                <w:rFonts w:cs="Calibri"/>
                <w:sz w:val="24"/>
                <w:szCs w:val="24"/>
              </w:rPr>
              <w:t>Smoke Check</w:t>
            </w:r>
          </w:p>
        </w:tc>
        <w:tc>
          <w:tcPr>
            <w:tcW w:w="0" w:type="auto"/>
          </w:tcPr>
          <w:p w:rsidR="0065145E" w:rsidRPr="0065145E" w:rsidRDefault="003732CB" w:rsidP="0065145E">
            <w:pPr>
              <w:spacing w:after="0" w:line="240" w:lineRule="auto"/>
              <w:jc w:val="center"/>
              <w:rPr>
                <w:rFonts w:cs="Calibri"/>
                <w:sz w:val="24"/>
                <w:szCs w:val="24"/>
              </w:rPr>
            </w:pPr>
            <w:r>
              <w:rPr>
                <w:rFonts w:cs="Calibri"/>
                <w:sz w:val="24"/>
                <w:szCs w:val="24"/>
              </w:rPr>
              <w:t>57</w:t>
            </w:r>
          </w:p>
        </w:tc>
      </w:tr>
      <w:tr w:rsidR="0065145E" w:rsidRPr="0065145E" w:rsidTr="004F5E01">
        <w:trPr>
          <w:trHeight w:val="62"/>
          <w:jc w:val="center"/>
        </w:trPr>
        <w:tc>
          <w:tcPr>
            <w:tcW w:w="0" w:type="auto"/>
          </w:tcPr>
          <w:p w:rsidR="0065145E" w:rsidRPr="0065145E" w:rsidRDefault="0065145E" w:rsidP="0065145E">
            <w:pPr>
              <w:spacing w:after="0" w:line="240" w:lineRule="auto"/>
              <w:jc w:val="center"/>
              <w:rPr>
                <w:rFonts w:cs="Calibri"/>
                <w:sz w:val="24"/>
                <w:szCs w:val="24"/>
              </w:rPr>
            </w:pPr>
            <w:r w:rsidRPr="0065145E">
              <w:rPr>
                <w:rFonts w:cs="Calibri"/>
                <w:sz w:val="24"/>
                <w:szCs w:val="24"/>
              </w:rPr>
              <w:t>Structure Fire</w:t>
            </w:r>
          </w:p>
        </w:tc>
        <w:tc>
          <w:tcPr>
            <w:tcW w:w="0" w:type="auto"/>
          </w:tcPr>
          <w:p w:rsidR="0065145E" w:rsidRPr="0065145E" w:rsidRDefault="003732CB" w:rsidP="0065145E">
            <w:pPr>
              <w:spacing w:after="0" w:line="240" w:lineRule="auto"/>
              <w:jc w:val="center"/>
              <w:rPr>
                <w:rFonts w:cs="Calibri"/>
                <w:sz w:val="24"/>
                <w:szCs w:val="24"/>
              </w:rPr>
            </w:pPr>
            <w:r>
              <w:rPr>
                <w:rFonts w:cs="Calibri"/>
                <w:sz w:val="24"/>
                <w:szCs w:val="24"/>
              </w:rPr>
              <w:t>1</w:t>
            </w:r>
          </w:p>
        </w:tc>
      </w:tr>
      <w:tr w:rsidR="0065145E" w:rsidRPr="0065145E" w:rsidTr="004F5E01">
        <w:trPr>
          <w:trHeight w:val="62"/>
          <w:jc w:val="center"/>
        </w:trPr>
        <w:tc>
          <w:tcPr>
            <w:tcW w:w="0" w:type="auto"/>
          </w:tcPr>
          <w:p w:rsidR="0065145E" w:rsidRPr="0065145E" w:rsidRDefault="0065145E" w:rsidP="0065145E">
            <w:pPr>
              <w:spacing w:after="0" w:line="240" w:lineRule="auto"/>
              <w:jc w:val="center"/>
              <w:rPr>
                <w:rFonts w:cs="Calibri"/>
                <w:sz w:val="24"/>
                <w:szCs w:val="24"/>
              </w:rPr>
            </w:pPr>
            <w:r w:rsidRPr="0065145E">
              <w:rPr>
                <w:rFonts w:cs="Calibri"/>
                <w:sz w:val="24"/>
                <w:szCs w:val="24"/>
              </w:rPr>
              <w:t>Vehicle Fire</w:t>
            </w:r>
          </w:p>
        </w:tc>
        <w:tc>
          <w:tcPr>
            <w:tcW w:w="0" w:type="auto"/>
          </w:tcPr>
          <w:p w:rsidR="0065145E" w:rsidRPr="0065145E" w:rsidRDefault="003732CB" w:rsidP="0065145E">
            <w:pPr>
              <w:spacing w:after="0" w:line="240" w:lineRule="auto"/>
              <w:jc w:val="center"/>
              <w:rPr>
                <w:rFonts w:cs="Calibri"/>
                <w:sz w:val="24"/>
                <w:szCs w:val="24"/>
              </w:rPr>
            </w:pPr>
            <w:r>
              <w:rPr>
                <w:rFonts w:cs="Calibri"/>
                <w:sz w:val="24"/>
                <w:szCs w:val="24"/>
              </w:rPr>
              <w:t>5</w:t>
            </w:r>
          </w:p>
        </w:tc>
      </w:tr>
      <w:tr w:rsidR="0065145E" w:rsidRPr="0065145E" w:rsidTr="004F5E01">
        <w:trPr>
          <w:trHeight w:val="62"/>
          <w:jc w:val="center"/>
        </w:trPr>
        <w:tc>
          <w:tcPr>
            <w:tcW w:w="0" w:type="auto"/>
          </w:tcPr>
          <w:p w:rsidR="0065145E" w:rsidRPr="0065145E" w:rsidRDefault="0065145E" w:rsidP="0065145E">
            <w:pPr>
              <w:spacing w:after="0" w:line="240" w:lineRule="auto"/>
              <w:jc w:val="center"/>
              <w:rPr>
                <w:rFonts w:cs="Calibri"/>
                <w:sz w:val="24"/>
                <w:szCs w:val="24"/>
              </w:rPr>
            </w:pPr>
            <w:r w:rsidRPr="0065145E">
              <w:rPr>
                <w:rFonts w:cs="Calibri"/>
                <w:sz w:val="24"/>
                <w:szCs w:val="24"/>
              </w:rPr>
              <w:t>Wildfire</w:t>
            </w:r>
          </w:p>
        </w:tc>
        <w:tc>
          <w:tcPr>
            <w:tcW w:w="0" w:type="auto"/>
          </w:tcPr>
          <w:p w:rsidR="0065145E" w:rsidRPr="0065145E" w:rsidRDefault="003732CB" w:rsidP="0065145E">
            <w:pPr>
              <w:spacing w:after="0" w:line="240" w:lineRule="auto"/>
              <w:jc w:val="center"/>
              <w:rPr>
                <w:rFonts w:cs="Calibri"/>
                <w:sz w:val="24"/>
                <w:szCs w:val="24"/>
              </w:rPr>
            </w:pPr>
            <w:r>
              <w:rPr>
                <w:rFonts w:cs="Calibri"/>
                <w:sz w:val="24"/>
                <w:szCs w:val="24"/>
              </w:rPr>
              <w:t>88</w:t>
            </w:r>
            <w:r w:rsidR="0065145E" w:rsidRPr="0065145E">
              <w:rPr>
                <w:rFonts w:cs="Calibri"/>
                <w:sz w:val="24"/>
                <w:szCs w:val="24"/>
              </w:rPr>
              <w:t xml:space="preserve"> </w:t>
            </w:r>
          </w:p>
        </w:tc>
      </w:tr>
      <w:tr w:rsidR="0065145E" w:rsidRPr="0065145E" w:rsidTr="004F5E01">
        <w:trPr>
          <w:trHeight w:val="62"/>
          <w:jc w:val="center"/>
        </w:trPr>
        <w:tc>
          <w:tcPr>
            <w:tcW w:w="0" w:type="auto"/>
          </w:tcPr>
          <w:p w:rsidR="0065145E" w:rsidRPr="0065145E" w:rsidRDefault="0065145E" w:rsidP="0065145E">
            <w:pPr>
              <w:spacing w:after="0" w:line="240" w:lineRule="auto"/>
              <w:jc w:val="center"/>
              <w:rPr>
                <w:rFonts w:cs="Calibri"/>
                <w:sz w:val="24"/>
                <w:szCs w:val="24"/>
              </w:rPr>
            </w:pPr>
            <w:r w:rsidRPr="0065145E">
              <w:rPr>
                <w:rFonts w:cs="Calibri"/>
                <w:sz w:val="24"/>
                <w:szCs w:val="24"/>
              </w:rPr>
              <w:t xml:space="preserve">Red flag/fire </w:t>
            </w:r>
            <w:proofErr w:type="spellStart"/>
            <w:r w:rsidRPr="0065145E">
              <w:rPr>
                <w:rFonts w:cs="Calibri"/>
                <w:sz w:val="24"/>
                <w:szCs w:val="24"/>
              </w:rPr>
              <w:t>wx</w:t>
            </w:r>
            <w:proofErr w:type="spellEnd"/>
            <w:r w:rsidRPr="0065145E">
              <w:rPr>
                <w:rFonts w:cs="Calibri"/>
                <w:sz w:val="24"/>
                <w:szCs w:val="24"/>
              </w:rPr>
              <w:t xml:space="preserve"> watches</w:t>
            </w:r>
          </w:p>
        </w:tc>
        <w:tc>
          <w:tcPr>
            <w:tcW w:w="0" w:type="auto"/>
          </w:tcPr>
          <w:p w:rsidR="0065145E" w:rsidRPr="0065145E" w:rsidRDefault="003732CB" w:rsidP="0065145E">
            <w:pPr>
              <w:spacing w:after="0" w:line="240" w:lineRule="auto"/>
              <w:jc w:val="center"/>
              <w:rPr>
                <w:rFonts w:cs="Calibri"/>
                <w:sz w:val="24"/>
                <w:szCs w:val="24"/>
              </w:rPr>
            </w:pPr>
            <w:r>
              <w:rPr>
                <w:rFonts w:cs="Calibri"/>
                <w:sz w:val="24"/>
                <w:szCs w:val="24"/>
              </w:rPr>
              <w:t>65</w:t>
            </w:r>
          </w:p>
        </w:tc>
      </w:tr>
      <w:tr w:rsidR="0065145E" w:rsidRPr="0065145E" w:rsidTr="004F5E01">
        <w:trPr>
          <w:trHeight w:val="48"/>
          <w:jc w:val="center"/>
        </w:trPr>
        <w:tc>
          <w:tcPr>
            <w:tcW w:w="0" w:type="auto"/>
            <w:shd w:val="clear" w:color="auto" w:fill="FF0000"/>
          </w:tcPr>
          <w:p w:rsidR="0065145E" w:rsidRPr="0065145E" w:rsidRDefault="0065145E" w:rsidP="0065145E">
            <w:pPr>
              <w:spacing w:after="0" w:line="240" w:lineRule="auto"/>
              <w:jc w:val="center"/>
              <w:rPr>
                <w:rFonts w:cs="Calibri"/>
                <w:b/>
                <w:sz w:val="24"/>
                <w:szCs w:val="24"/>
              </w:rPr>
            </w:pPr>
            <w:r w:rsidRPr="0065145E">
              <w:rPr>
                <w:rFonts w:cs="Calibri"/>
                <w:b/>
                <w:sz w:val="24"/>
                <w:szCs w:val="24"/>
              </w:rPr>
              <w:t>Total</w:t>
            </w:r>
          </w:p>
        </w:tc>
        <w:tc>
          <w:tcPr>
            <w:tcW w:w="0" w:type="auto"/>
            <w:shd w:val="clear" w:color="auto" w:fill="FF0000"/>
          </w:tcPr>
          <w:p w:rsidR="0065145E" w:rsidRPr="0065145E" w:rsidRDefault="003732CB" w:rsidP="003732CB">
            <w:pPr>
              <w:spacing w:after="0" w:line="240" w:lineRule="auto"/>
              <w:jc w:val="center"/>
              <w:rPr>
                <w:rFonts w:cs="Calibri"/>
                <w:b/>
                <w:sz w:val="24"/>
                <w:szCs w:val="24"/>
              </w:rPr>
            </w:pPr>
            <w:r>
              <w:rPr>
                <w:rFonts w:cs="Calibri"/>
                <w:b/>
                <w:sz w:val="24"/>
                <w:szCs w:val="24"/>
              </w:rPr>
              <w:t>432</w:t>
            </w:r>
          </w:p>
        </w:tc>
      </w:tr>
    </w:tbl>
    <w:p w:rsidR="0065145E" w:rsidRPr="0065145E" w:rsidRDefault="0065145E" w:rsidP="0065145E">
      <w:pPr>
        <w:spacing w:after="0" w:line="240" w:lineRule="auto"/>
        <w:jc w:val="center"/>
        <w:rPr>
          <w:rFonts w:cs="Calibri"/>
          <w:b/>
          <w:sz w:val="24"/>
          <w:szCs w:val="24"/>
        </w:rPr>
      </w:pPr>
    </w:p>
    <w:p w:rsidR="0065145E" w:rsidRPr="0065145E" w:rsidRDefault="0065145E" w:rsidP="0065145E">
      <w:pPr>
        <w:spacing w:after="0" w:line="240" w:lineRule="auto"/>
        <w:jc w:val="center"/>
        <w:rPr>
          <w:rFonts w:cs="Calibri"/>
          <w:b/>
          <w:sz w:val="24"/>
          <w:szCs w:val="24"/>
        </w:rPr>
      </w:pPr>
    </w:p>
    <w:p w:rsidR="001F5A55" w:rsidRPr="0065145E" w:rsidRDefault="0065145E" w:rsidP="00CE11D5">
      <w:pPr>
        <w:spacing w:after="0" w:line="240" w:lineRule="auto"/>
        <w:rPr>
          <w:rFonts w:cs="Calibri"/>
          <w:sz w:val="24"/>
          <w:szCs w:val="24"/>
        </w:rPr>
      </w:pPr>
      <w:r w:rsidRPr="0065145E">
        <w:rPr>
          <w:rFonts w:cs="Calibri"/>
          <w:sz w:val="24"/>
          <w:szCs w:val="24"/>
        </w:rPr>
        <w:t>Given the nature of a</w:t>
      </w:r>
      <w:r w:rsidR="00D62A84">
        <w:rPr>
          <w:rFonts w:cs="Calibri"/>
          <w:sz w:val="24"/>
          <w:szCs w:val="24"/>
        </w:rPr>
        <w:t xml:space="preserve"> moderately slow fire season on HDD</w:t>
      </w:r>
      <w:r w:rsidRPr="0065145E">
        <w:rPr>
          <w:rFonts w:cs="Calibri"/>
          <w:sz w:val="24"/>
          <w:szCs w:val="24"/>
        </w:rPr>
        <w:t>, Rawlins Dispatch was able to fill multiple resource order</w:t>
      </w:r>
      <w:r w:rsidR="00D62A84">
        <w:rPr>
          <w:rFonts w:cs="Calibri"/>
          <w:sz w:val="24"/>
          <w:szCs w:val="24"/>
        </w:rPr>
        <w:t>s in support of our neighbors and to the southern area</w:t>
      </w:r>
      <w:r w:rsidRPr="0065145E">
        <w:rPr>
          <w:rFonts w:cs="Calibri"/>
          <w:sz w:val="24"/>
          <w:szCs w:val="24"/>
        </w:rPr>
        <w:t xml:space="preserve">. </w:t>
      </w:r>
    </w:p>
    <w:p w:rsidR="005670C4" w:rsidRDefault="00D62A84" w:rsidP="00D62A84">
      <w:pPr>
        <w:jc w:val="center"/>
        <w:rPr>
          <w:rFonts w:cs="Calibri"/>
          <w:b/>
          <w:sz w:val="32"/>
          <w:szCs w:val="24"/>
        </w:rPr>
      </w:pPr>
      <w:r>
        <w:rPr>
          <w:noProof/>
        </w:rPr>
        <w:drawing>
          <wp:inline distT="0" distB="0" distL="0" distR="0" wp14:anchorId="3F9D27C3" wp14:editId="476443BD">
            <wp:extent cx="4572000" cy="2743200"/>
            <wp:effectExtent l="0" t="0" r="19050" b="19050"/>
            <wp:docPr id="30" name="Chart 30" title="Chart showing total number of ROSS orders filled, broken down by type of resou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62A84" w:rsidRDefault="00D62A84" w:rsidP="0065145E">
      <w:pPr>
        <w:jc w:val="center"/>
        <w:rPr>
          <w:rFonts w:cs="Calibri"/>
          <w:b/>
          <w:sz w:val="32"/>
          <w:szCs w:val="24"/>
        </w:rPr>
      </w:pPr>
    </w:p>
    <w:p w:rsidR="0065145E" w:rsidRDefault="00C01B4F" w:rsidP="0065145E">
      <w:pPr>
        <w:jc w:val="center"/>
        <w:rPr>
          <w:rFonts w:cs="Calibri"/>
          <w:sz w:val="24"/>
          <w:szCs w:val="24"/>
        </w:rPr>
      </w:pPr>
      <w:r>
        <w:rPr>
          <w:rFonts w:cs="Calibri"/>
          <w:b/>
          <w:sz w:val="32"/>
          <w:szCs w:val="32"/>
        </w:rPr>
        <w:t>Priority Training</w:t>
      </w:r>
    </w:p>
    <w:p w:rsidR="00C01B4F" w:rsidRPr="00C01B4F" w:rsidRDefault="00C01B4F" w:rsidP="00C01B4F">
      <w:pPr>
        <w:rPr>
          <w:rFonts w:cs="Calibri"/>
          <w:sz w:val="24"/>
          <w:szCs w:val="24"/>
        </w:rPr>
      </w:pPr>
      <w:r>
        <w:rPr>
          <w:rFonts w:cs="Calibri"/>
          <w:sz w:val="24"/>
          <w:szCs w:val="24"/>
        </w:rPr>
        <w:lastRenderedPageBreak/>
        <w:t xml:space="preserve">The Priority Training program put together by Kim Bang, the Region 2 Training Specialist, was a great success for HDD.  RWC sent out 7 overhead on trainee assignments with 4 completing their </w:t>
      </w:r>
      <w:proofErr w:type="spellStart"/>
      <w:r>
        <w:rPr>
          <w:rFonts w:cs="Calibri"/>
          <w:sz w:val="24"/>
          <w:szCs w:val="24"/>
        </w:rPr>
        <w:t>taskbook</w:t>
      </w:r>
      <w:proofErr w:type="spellEnd"/>
      <w:r>
        <w:rPr>
          <w:rFonts w:cs="Calibri"/>
          <w:sz w:val="24"/>
          <w:szCs w:val="24"/>
        </w:rPr>
        <w:t xml:space="preserve"> and getting signed off.</w:t>
      </w:r>
    </w:p>
    <w:p w:rsidR="00D62A84" w:rsidRDefault="00D62A84" w:rsidP="00C01B4F">
      <w:pPr>
        <w:jc w:val="center"/>
        <w:rPr>
          <w:rFonts w:cs="Calibri"/>
          <w:sz w:val="32"/>
          <w:szCs w:val="32"/>
        </w:rPr>
      </w:pPr>
    </w:p>
    <w:p w:rsidR="00C20DDD" w:rsidRPr="00C20DDD" w:rsidRDefault="00C20DDD" w:rsidP="00C01B4F">
      <w:pPr>
        <w:jc w:val="center"/>
        <w:rPr>
          <w:rFonts w:cs="Calibri"/>
          <w:b/>
          <w:sz w:val="24"/>
          <w:szCs w:val="24"/>
        </w:rPr>
      </w:pPr>
      <w:r w:rsidRPr="00C20DDD">
        <w:rPr>
          <w:rFonts w:cs="Calibri"/>
          <w:b/>
          <w:sz w:val="32"/>
          <w:szCs w:val="32"/>
        </w:rPr>
        <w:t>Aviation</w:t>
      </w:r>
    </w:p>
    <w:p w:rsidR="00C20DDD" w:rsidRPr="00C20DDD" w:rsidRDefault="00C20DDD" w:rsidP="00C20DDD">
      <w:pPr>
        <w:jc w:val="center"/>
        <w:rPr>
          <w:rFonts w:cs="Calibri"/>
          <w:sz w:val="24"/>
          <w:szCs w:val="24"/>
        </w:rPr>
      </w:pPr>
      <w:bookmarkStart w:id="0" w:name="OLE_LINK1"/>
      <w:bookmarkStart w:id="1" w:name="OLE_LINK2"/>
      <w:r w:rsidRPr="00C20DDD">
        <w:rPr>
          <w:rFonts w:cs="Calibri"/>
          <w:b/>
          <w:sz w:val="24"/>
          <w:szCs w:val="24"/>
        </w:rPr>
        <w:t>BLM Contracted Type 3 Standard Helicopter</w:t>
      </w:r>
    </w:p>
    <w:bookmarkEnd w:id="0"/>
    <w:bookmarkEnd w:id="1"/>
    <w:p w:rsidR="00C20DDD" w:rsidRPr="00C20DDD" w:rsidRDefault="00C20DDD" w:rsidP="00C20DDD">
      <w:pPr>
        <w:rPr>
          <w:rFonts w:cs="Calibri"/>
          <w:sz w:val="24"/>
          <w:szCs w:val="24"/>
        </w:rPr>
      </w:pPr>
      <w:r w:rsidRPr="00C20DDD">
        <w:rPr>
          <w:rFonts w:cs="Calibri"/>
          <w:sz w:val="24"/>
          <w:szCs w:val="24"/>
        </w:rPr>
        <w:t>N32HX began its 90 day contract on June 12</w:t>
      </w:r>
      <w:r w:rsidRPr="00C20DDD">
        <w:rPr>
          <w:rFonts w:cs="Calibri"/>
          <w:sz w:val="24"/>
          <w:szCs w:val="24"/>
          <w:vertAlign w:val="superscript"/>
        </w:rPr>
        <w:t xml:space="preserve">th </w:t>
      </w:r>
      <w:r w:rsidRPr="00C20DDD">
        <w:rPr>
          <w:rFonts w:cs="Calibri"/>
          <w:sz w:val="24"/>
          <w:szCs w:val="24"/>
        </w:rPr>
        <w:t xml:space="preserve">and ended its season on September, including a 9 day extension.  It was staffed with a module of 7 personnel. During its 99 days of contract the helicopter flew 144.2 total hours of which 19.7 of those hours were firefighting operations within the RWC zone. It delivered a total of 64,507 </w:t>
      </w:r>
      <w:proofErr w:type="spellStart"/>
      <w:r w:rsidRPr="00C20DDD">
        <w:rPr>
          <w:rFonts w:cs="Calibri"/>
          <w:sz w:val="24"/>
          <w:szCs w:val="24"/>
        </w:rPr>
        <w:t>gl</w:t>
      </w:r>
      <w:proofErr w:type="spellEnd"/>
      <w:r w:rsidRPr="00C20DDD">
        <w:rPr>
          <w:rFonts w:cs="Calibri"/>
          <w:sz w:val="24"/>
          <w:szCs w:val="24"/>
        </w:rPr>
        <w:t xml:space="preserve"> of water, 44,595 </w:t>
      </w:r>
      <w:proofErr w:type="spellStart"/>
      <w:r w:rsidRPr="00C20DDD">
        <w:rPr>
          <w:rFonts w:cs="Calibri"/>
          <w:sz w:val="24"/>
          <w:szCs w:val="24"/>
        </w:rPr>
        <w:t>lbs</w:t>
      </w:r>
      <w:proofErr w:type="spellEnd"/>
      <w:r w:rsidRPr="00C20DDD">
        <w:rPr>
          <w:rFonts w:cs="Calibri"/>
          <w:sz w:val="24"/>
          <w:szCs w:val="24"/>
        </w:rPr>
        <w:t xml:space="preserve"> of cargo (both internal and externally) and transported 431 passengers.  </w:t>
      </w:r>
    </w:p>
    <w:p w:rsidR="00C20DDD" w:rsidRPr="00C20DDD" w:rsidRDefault="00C20DDD" w:rsidP="00C20DDD">
      <w:pPr>
        <w:jc w:val="center"/>
        <w:rPr>
          <w:rFonts w:cs="Calibri"/>
          <w:b/>
          <w:sz w:val="24"/>
          <w:szCs w:val="24"/>
        </w:rPr>
      </w:pPr>
      <w:r w:rsidRPr="00C20DDD">
        <w:rPr>
          <w:rFonts w:cs="Calibri"/>
          <w:b/>
          <w:sz w:val="24"/>
          <w:szCs w:val="24"/>
        </w:rPr>
        <w:t>Rawlins SEAT Base</w:t>
      </w:r>
    </w:p>
    <w:p w:rsidR="00C20DDD" w:rsidRPr="00C20DDD" w:rsidRDefault="00C20DDD" w:rsidP="00C20DDD">
      <w:pPr>
        <w:rPr>
          <w:rFonts w:cs="Calibri"/>
          <w:sz w:val="24"/>
          <w:szCs w:val="24"/>
        </w:rPr>
      </w:pPr>
      <w:r w:rsidRPr="00C20DDD">
        <w:rPr>
          <w:rFonts w:cs="Calibri"/>
          <w:sz w:val="24"/>
          <w:szCs w:val="24"/>
        </w:rPr>
        <w:t xml:space="preserve">In support of the 2016 fire season the Rawlins SEAT base was open for approximately 135 days. During the season, Rawlins SEAT base supported a total of 3 helicopters, 3 Single Engine Air Tankers, and 1 Smokejumper aircraft. Rawlins SEAT base delivered 14,695 gallons of retardant at a cost of $44,085 via 20 sorties at a cost of $104,125 in support of five fires. </w:t>
      </w:r>
    </w:p>
    <w:p w:rsidR="001F5A55" w:rsidRDefault="001F5A55">
      <w:pPr>
        <w:spacing w:after="0" w:line="240" w:lineRule="auto"/>
        <w:rPr>
          <w:rFonts w:cs="Calibri"/>
          <w:sz w:val="24"/>
          <w:szCs w:val="24"/>
        </w:rPr>
      </w:pPr>
      <w:r>
        <w:rPr>
          <w:rFonts w:cs="Calibri"/>
          <w:sz w:val="24"/>
          <w:szCs w:val="24"/>
        </w:rPr>
        <w:br w:type="page"/>
      </w:r>
    </w:p>
    <w:p w:rsidR="00C20DDD" w:rsidRDefault="00C20DDD" w:rsidP="0065145E">
      <w:pPr>
        <w:jc w:val="center"/>
        <w:rPr>
          <w:rFonts w:cs="Calibri"/>
          <w:b/>
          <w:sz w:val="24"/>
          <w:szCs w:val="24"/>
        </w:rPr>
      </w:pPr>
    </w:p>
    <w:p w:rsidR="00C20DDD" w:rsidRDefault="00C20DDD" w:rsidP="006D0ACE">
      <w:pPr>
        <w:rPr>
          <w:rFonts w:cs="Calibri"/>
          <w:b/>
          <w:sz w:val="24"/>
          <w:szCs w:val="24"/>
        </w:rPr>
      </w:pPr>
      <w:r>
        <w:rPr>
          <w:noProof/>
        </w:rPr>
        <w:drawing>
          <wp:inline distT="0" distB="0" distL="0" distR="0" wp14:anchorId="173D6C81" wp14:editId="2A784205">
            <wp:extent cx="2743200" cy="2743200"/>
            <wp:effectExtent l="0" t="0" r="19050" b="19050"/>
            <wp:docPr id="3" name="Chart 3" title="Graph showing total aviation costs, split into resource costs and fire cos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Start w:id="2" w:name="_GoBack"/>
      <w:bookmarkEnd w:id="2"/>
      <w:r>
        <w:rPr>
          <w:noProof/>
        </w:rPr>
        <w:drawing>
          <wp:anchor distT="0" distB="0" distL="114300" distR="114300" simplePos="0" relativeHeight="251658240" behindDoc="0" locked="0" layoutInCell="1" allowOverlap="1" wp14:anchorId="0E4744EC" wp14:editId="5F2BD937">
            <wp:simplePos x="0" y="0"/>
            <wp:positionH relativeFrom="column">
              <wp:align>left</wp:align>
            </wp:positionH>
            <wp:positionV relativeFrom="paragraph">
              <wp:align>top</wp:align>
            </wp:positionV>
            <wp:extent cx="2743200" cy="2743200"/>
            <wp:effectExtent l="0" t="0" r="19050" b="19050"/>
            <wp:wrapSquare wrapText="bothSides"/>
            <wp:docPr id="31" name="Chart 31" title="Graph showing total aviaton hours, split into resource hours and fire hours"/>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rFonts w:cs="Calibri"/>
          <w:b/>
          <w:sz w:val="24"/>
          <w:szCs w:val="24"/>
        </w:rPr>
        <w:br w:type="textWrapping" w:clear="all"/>
      </w:r>
      <w:r>
        <w:rPr>
          <w:noProof/>
        </w:rPr>
        <w:lastRenderedPageBreak/>
        <w:drawing>
          <wp:inline distT="0" distB="0" distL="0" distR="0" wp14:anchorId="46A30373" wp14:editId="76C81FF3">
            <wp:extent cx="5486400" cy="5257800"/>
            <wp:effectExtent l="0" t="0" r="19050" b="19050"/>
            <wp:docPr id="32" name="Chart 32" title="Graph of Fire aviation hours by type of aircraft"/>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5145E" w:rsidRPr="0065145E" w:rsidRDefault="00E73736" w:rsidP="0065145E">
      <w:pPr>
        <w:jc w:val="center"/>
        <w:rPr>
          <w:rFonts w:cs="Calibri"/>
          <w:sz w:val="24"/>
          <w:szCs w:val="24"/>
        </w:rPr>
      </w:pPr>
      <w:r>
        <w:rPr>
          <w:noProof/>
        </w:rPr>
        <w:lastRenderedPageBreak/>
        <w:drawing>
          <wp:inline distT="0" distB="0" distL="0" distR="0" wp14:anchorId="685B0B5A" wp14:editId="07CF72AF">
            <wp:extent cx="5486400" cy="5257800"/>
            <wp:effectExtent l="0" t="0" r="19050" b="19050"/>
            <wp:docPr id="33" name="Chart 33" title="Graph of fire aviation costs by type of aircraft"/>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F2E4C" w:rsidRDefault="004F2E4C" w:rsidP="0084066E">
      <w:pPr>
        <w:spacing w:after="0" w:line="240" w:lineRule="auto"/>
        <w:jc w:val="center"/>
        <w:rPr>
          <w:rFonts w:cs="Calibri"/>
          <w:b/>
          <w:sz w:val="32"/>
          <w:szCs w:val="32"/>
        </w:rPr>
      </w:pPr>
    </w:p>
    <w:sectPr w:rsidR="004F2E4C">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354" w:rsidRDefault="00277354" w:rsidP="00593E81">
      <w:pPr>
        <w:spacing w:after="0" w:line="240" w:lineRule="auto"/>
      </w:pPr>
      <w:r>
        <w:separator/>
      </w:r>
    </w:p>
  </w:endnote>
  <w:endnote w:type="continuationSeparator" w:id="0">
    <w:p w:rsidR="00277354" w:rsidRDefault="00277354" w:rsidP="00593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54" w:rsidRDefault="002773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54" w:rsidRDefault="002773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54" w:rsidRDefault="002773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354" w:rsidRDefault="00277354" w:rsidP="00593E81">
      <w:pPr>
        <w:spacing w:after="0" w:line="240" w:lineRule="auto"/>
      </w:pPr>
      <w:r>
        <w:separator/>
      </w:r>
    </w:p>
  </w:footnote>
  <w:footnote w:type="continuationSeparator" w:id="0">
    <w:p w:rsidR="00277354" w:rsidRDefault="00277354" w:rsidP="00593E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54" w:rsidRDefault="002773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54" w:rsidRDefault="002773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54" w:rsidRDefault="002773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715AB"/>
    <w:multiLevelType w:val="hybridMultilevel"/>
    <w:tmpl w:val="0B0E7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598"/>
    <w:rsid w:val="000008E6"/>
    <w:rsid w:val="000031CB"/>
    <w:rsid w:val="00021A84"/>
    <w:rsid w:val="000369F2"/>
    <w:rsid w:val="000379C9"/>
    <w:rsid w:val="000447F9"/>
    <w:rsid w:val="00053292"/>
    <w:rsid w:val="00055057"/>
    <w:rsid w:val="000665FA"/>
    <w:rsid w:val="0006739E"/>
    <w:rsid w:val="00071432"/>
    <w:rsid w:val="00071F77"/>
    <w:rsid w:val="00085D7D"/>
    <w:rsid w:val="000A1153"/>
    <w:rsid w:val="000A1A18"/>
    <w:rsid w:val="000A3BF7"/>
    <w:rsid w:val="000C34D3"/>
    <w:rsid w:val="000C36B1"/>
    <w:rsid w:val="000C3973"/>
    <w:rsid w:val="000C3B5A"/>
    <w:rsid w:val="000D31DA"/>
    <w:rsid w:val="000E051A"/>
    <w:rsid w:val="000E19AC"/>
    <w:rsid w:val="000F572E"/>
    <w:rsid w:val="000F5FA5"/>
    <w:rsid w:val="000F7F66"/>
    <w:rsid w:val="00100955"/>
    <w:rsid w:val="00111805"/>
    <w:rsid w:val="00111847"/>
    <w:rsid w:val="001142AB"/>
    <w:rsid w:val="00117EF8"/>
    <w:rsid w:val="00121761"/>
    <w:rsid w:val="0012200B"/>
    <w:rsid w:val="001257EC"/>
    <w:rsid w:val="00134D63"/>
    <w:rsid w:val="00136D79"/>
    <w:rsid w:val="0014058E"/>
    <w:rsid w:val="00146BA3"/>
    <w:rsid w:val="0015179F"/>
    <w:rsid w:val="00151E1C"/>
    <w:rsid w:val="00153B44"/>
    <w:rsid w:val="0017592F"/>
    <w:rsid w:val="001848E2"/>
    <w:rsid w:val="00193FD0"/>
    <w:rsid w:val="0019490B"/>
    <w:rsid w:val="001B6FC3"/>
    <w:rsid w:val="001C5AB2"/>
    <w:rsid w:val="001E3520"/>
    <w:rsid w:val="001F5746"/>
    <w:rsid w:val="001F5A55"/>
    <w:rsid w:val="001F670F"/>
    <w:rsid w:val="0021461B"/>
    <w:rsid w:val="00214E16"/>
    <w:rsid w:val="00215663"/>
    <w:rsid w:val="002251E8"/>
    <w:rsid w:val="00230151"/>
    <w:rsid w:val="00234E72"/>
    <w:rsid w:val="002361EF"/>
    <w:rsid w:val="00251735"/>
    <w:rsid w:val="00254140"/>
    <w:rsid w:val="002563F1"/>
    <w:rsid w:val="002569A2"/>
    <w:rsid w:val="00265B51"/>
    <w:rsid w:val="002760BF"/>
    <w:rsid w:val="00277354"/>
    <w:rsid w:val="00281D29"/>
    <w:rsid w:val="002858D5"/>
    <w:rsid w:val="00285C15"/>
    <w:rsid w:val="002E6AAD"/>
    <w:rsid w:val="00301350"/>
    <w:rsid w:val="003072C9"/>
    <w:rsid w:val="00314BD4"/>
    <w:rsid w:val="00316F36"/>
    <w:rsid w:val="00317F31"/>
    <w:rsid w:val="00337A6F"/>
    <w:rsid w:val="00343316"/>
    <w:rsid w:val="003469CF"/>
    <w:rsid w:val="00352D01"/>
    <w:rsid w:val="00362BEF"/>
    <w:rsid w:val="003732CB"/>
    <w:rsid w:val="003853D8"/>
    <w:rsid w:val="003917AB"/>
    <w:rsid w:val="0039278D"/>
    <w:rsid w:val="00394F26"/>
    <w:rsid w:val="003A2DFF"/>
    <w:rsid w:val="003C3C73"/>
    <w:rsid w:val="003C7E12"/>
    <w:rsid w:val="003F5E5D"/>
    <w:rsid w:val="00404030"/>
    <w:rsid w:val="00410BFC"/>
    <w:rsid w:val="00411AEB"/>
    <w:rsid w:val="0041236B"/>
    <w:rsid w:val="00425E48"/>
    <w:rsid w:val="00427691"/>
    <w:rsid w:val="0044032B"/>
    <w:rsid w:val="00442BDA"/>
    <w:rsid w:val="0044416A"/>
    <w:rsid w:val="00461CE0"/>
    <w:rsid w:val="00463DA1"/>
    <w:rsid w:val="00472443"/>
    <w:rsid w:val="00473DF6"/>
    <w:rsid w:val="00476D40"/>
    <w:rsid w:val="004A518F"/>
    <w:rsid w:val="004C3FD1"/>
    <w:rsid w:val="004C5DB8"/>
    <w:rsid w:val="004D7F11"/>
    <w:rsid w:val="004E76C5"/>
    <w:rsid w:val="004F2739"/>
    <w:rsid w:val="004F2D86"/>
    <w:rsid w:val="004F2E4C"/>
    <w:rsid w:val="004F6F10"/>
    <w:rsid w:val="004F7C7D"/>
    <w:rsid w:val="00501C9D"/>
    <w:rsid w:val="0052691F"/>
    <w:rsid w:val="00535304"/>
    <w:rsid w:val="0055557C"/>
    <w:rsid w:val="00561109"/>
    <w:rsid w:val="005645EA"/>
    <w:rsid w:val="005670C4"/>
    <w:rsid w:val="0057370C"/>
    <w:rsid w:val="005902E5"/>
    <w:rsid w:val="00593E81"/>
    <w:rsid w:val="005A2C24"/>
    <w:rsid w:val="005D3A66"/>
    <w:rsid w:val="005E1A12"/>
    <w:rsid w:val="005E363E"/>
    <w:rsid w:val="005E488E"/>
    <w:rsid w:val="005F2542"/>
    <w:rsid w:val="005F65E8"/>
    <w:rsid w:val="006012F1"/>
    <w:rsid w:val="006035C9"/>
    <w:rsid w:val="0060667A"/>
    <w:rsid w:val="00626F21"/>
    <w:rsid w:val="00631375"/>
    <w:rsid w:val="0065145E"/>
    <w:rsid w:val="00651F45"/>
    <w:rsid w:val="0065212A"/>
    <w:rsid w:val="006527C9"/>
    <w:rsid w:val="006646BD"/>
    <w:rsid w:val="00670A15"/>
    <w:rsid w:val="006732FD"/>
    <w:rsid w:val="00693DC5"/>
    <w:rsid w:val="00694876"/>
    <w:rsid w:val="006C24B1"/>
    <w:rsid w:val="006D0ACE"/>
    <w:rsid w:val="006D596D"/>
    <w:rsid w:val="006E0168"/>
    <w:rsid w:val="006E2F58"/>
    <w:rsid w:val="006E6555"/>
    <w:rsid w:val="006F056A"/>
    <w:rsid w:val="006F68AC"/>
    <w:rsid w:val="00704DE7"/>
    <w:rsid w:val="007106B1"/>
    <w:rsid w:val="00720046"/>
    <w:rsid w:val="00722EBF"/>
    <w:rsid w:val="0072666D"/>
    <w:rsid w:val="00727F88"/>
    <w:rsid w:val="00733EDF"/>
    <w:rsid w:val="00735583"/>
    <w:rsid w:val="00740D1D"/>
    <w:rsid w:val="00743B30"/>
    <w:rsid w:val="00743DF6"/>
    <w:rsid w:val="00746E56"/>
    <w:rsid w:val="00780248"/>
    <w:rsid w:val="00786C15"/>
    <w:rsid w:val="00787B6F"/>
    <w:rsid w:val="007B0F27"/>
    <w:rsid w:val="007B492B"/>
    <w:rsid w:val="007B5D16"/>
    <w:rsid w:val="007C2810"/>
    <w:rsid w:val="007C51A7"/>
    <w:rsid w:val="007C68BD"/>
    <w:rsid w:val="007E53EC"/>
    <w:rsid w:val="007F200A"/>
    <w:rsid w:val="007F5B4B"/>
    <w:rsid w:val="00801E34"/>
    <w:rsid w:val="008022EF"/>
    <w:rsid w:val="0080700A"/>
    <w:rsid w:val="00822B9B"/>
    <w:rsid w:val="0082634D"/>
    <w:rsid w:val="0084066E"/>
    <w:rsid w:val="00843DF3"/>
    <w:rsid w:val="008546DA"/>
    <w:rsid w:val="00855285"/>
    <w:rsid w:val="00857893"/>
    <w:rsid w:val="00872030"/>
    <w:rsid w:val="008936B7"/>
    <w:rsid w:val="008A24BC"/>
    <w:rsid w:val="008B0B24"/>
    <w:rsid w:val="008C2D85"/>
    <w:rsid w:val="008C5455"/>
    <w:rsid w:val="008E28AF"/>
    <w:rsid w:val="008E3D11"/>
    <w:rsid w:val="008E5C7A"/>
    <w:rsid w:val="0092281F"/>
    <w:rsid w:val="0092524B"/>
    <w:rsid w:val="00930D8B"/>
    <w:rsid w:val="00945999"/>
    <w:rsid w:val="009503DF"/>
    <w:rsid w:val="00957F46"/>
    <w:rsid w:val="00957F4C"/>
    <w:rsid w:val="0097054A"/>
    <w:rsid w:val="009771E2"/>
    <w:rsid w:val="009772A8"/>
    <w:rsid w:val="00981E68"/>
    <w:rsid w:val="00984BBA"/>
    <w:rsid w:val="009856DE"/>
    <w:rsid w:val="009978AE"/>
    <w:rsid w:val="009A270F"/>
    <w:rsid w:val="009C76B5"/>
    <w:rsid w:val="009D5A58"/>
    <w:rsid w:val="009D6499"/>
    <w:rsid w:val="009E258F"/>
    <w:rsid w:val="009E327F"/>
    <w:rsid w:val="009F3061"/>
    <w:rsid w:val="00A025D2"/>
    <w:rsid w:val="00A06F89"/>
    <w:rsid w:val="00A15D6C"/>
    <w:rsid w:val="00A2416C"/>
    <w:rsid w:val="00A24AA2"/>
    <w:rsid w:val="00A32042"/>
    <w:rsid w:val="00A32834"/>
    <w:rsid w:val="00A335BA"/>
    <w:rsid w:val="00A336A3"/>
    <w:rsid w:val="00A53AFA"/>
    <w:rsid w:val="00A60D9B"/>
    <w:rsid w:val="00A728A0"/>
    <w:rsid w:val="00A768B8"/>
    <w:rsid w:val="00A8181A"/>
    <w:rsid w:val="00A8324C"/>
    <w:rsid w:val="00A9726C"/>
    <w:rsid w:val="00AA2BB7"/>
    <w:rsid w:val="00AC3686"/>
    <w:rsid w:val="00AD0266"/>
    <w:rsid w:val="00AE05FD"/>
    <w:rsid w:val="00AE2930"/>
    <w:rsid w:val="00AE42A8"/>
    <w:rsid w:val="00AE4D43"/>
    <w:rsid w:val="00B0188A"/>
    <w:rsid w:val="00B03381"/>
    <w:rsid w:val="00B04DAD"/>
    <w:rsid w:val="00B110D5"/>
    <w:rsid w:val="00B364D6"/>
    <w:rsid w:val="00B53152"/>
    <w:rsid w:val="00B53E98"/>
    <w:rsid w:val="00B555A6"/>
    <w:rsid w:val="00B5607F"/>
    <w:rsid w:val="00B627E0"/>
    <w:rsid w:val="00B75531"/>
    <w:rsid w:val="00B937CA"/>
    <w:rsid w:val="00BB58B3"/>
    <w:rsid w:val="00BC20B2"/>
    <w:rsid w:val="00BD0743"/>
    <w:rsid w:val="00BF1BBA"/>
    <w:rsid w:val="00C00627"/>
    <w:rsid w:val="00C01B4F"/>
    <w:rsid w:val="00C13786"/>
    <w:rsid w:val="00C20DDD"/>
    <w:rsid w:val="00C438E0"/>
    <w:rsid w:val="00C536E2"/>
    <w:rsid w:val="00C53E37"/>
    <w:rsid w:val="00C55932"/>
    <w:rsid w:val="00C635ED"/>
    <w:rsid w:val="00C866D1"/>
    <w:rsid w:val="00C9698F"/>
    <w:rsid w:val="00CA0C4B"/>
    <w:rsid w:val="00CA4D99"/>
    <w:rsid w:val="00CD1F5A"/>
    <w:rsid w:val="00CD69F4"/>
    <w:rsid w:val="00CE11D5"/>
    <w:rsid w:val="00CE732A"/>
    <w:rsid w:val="00CF79BA"/>
    <w:rsid w:val="00D07CD0"/>
    <w:rsid w:val="00D16265"/>
    <w:rsid w:val="00D16C62"/>
    <w:rsid w:val="00D212EB"/>
    <w:rsid w:val="00D26CC5"/>
    <w:rsid w:val="00D43116"/>
    <w:rsid w:val="00D50CDD"/>
    <w:rsid w:val="00D523DE"/>
    <w:rsid w:val="00D55C32"/>
    <w:rsid w:val="00D62A84"/>
    <w:rsid w:val="00D7634C"/>
    <w:rsid w:val="00D83E3C"/>
    <w:rsid w:val="00D92707"/>
    <w:rsid w:val="00D92D1E"/>
    <w:rsid w:val="00D94460"/>
    <w:rsid w:val="00D96DAC"/>
    <w:rsid w:val="00DA2CBC"/>
    <w:rsid w:val="00DB743D"/>
    <w:rsid w:val="00DC5512"/>
    <w:rsid w:val="00DC73C7"/>
    <w:rsid w:val="00DD2DBB"/>
    <w:rsid w:val="00DE1BE5"/>
    <w:rsid w:val="00DE7DC4"/>
    <w:rsid w:val="00E019AF"/>
    <w:rsid w:val="00E02EF5"/>
    <w:rsid w:val="00E13FD2"/>
    <w:rsid w:val="00E214D7"/>
    <w:rsid w:val="00E31733"/>
    <w:rsid w:val="00E4196A"/>
    <w:rsid w:val="00E44464"/>
    <w:rsid w:val="00E54B26"/>
    <w:rsid w:val="00E73736"/>
    <w:rsid w:val="00E816F8"/>
    <w:rsid w:val="00E857AB"/>
    <w:rsid w:val="00E94EF4"/>
    <w:rsid w:val="00EA19C3"/>
    <w:rsid w:val="00EB7DF9"/>
    <w:rsid w:val="00EE0A5B"/>
    <w:rsid w:val="00EE2A29"/>
    <w:rsid w:val="00EF217B"/>
    <w:rsid w:val="00EF3710"/>
    <w:rsid w:val="00F03F7A"/>
    <w:rsid w:val="00F103BB"/>
    <w:rsid w:val="00F15218"/>
    <w:rsid w:val="00F27598"/>
    <w:rsid w:val="00F45CA9"/>
    <w:rsid w:val="00F45FDE"/>
    <w:rsid w:val="00F832A1"/>
    <w:rsid w:val="00F8547F"/>
    <w:rsid w:val="00F93098"/>
    <w:rsid w:val="00FC6C96"/>
    <w:rsid w:val="00FE1F83"/>
    <w:rsid w:val="00FF5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1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51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51A7"/>
    <w:rPr>
      <w:rFonts w:ascii="Tahoma" w:hAnsi="Tahoma" w:cs="Tahoma"/>
      <w:sz w:val="16"/>
      <w:szCs w:val="16"/>
    </w:rPr>
  </w:style>
  <w:style w:type="paragraph" w:styleId="ListParagraph">
    <w:name w:val="List Paragraph"/>
    <w:basedOn w:val="Normal"/>
    <w:uiPriority w:val="34"/>
    <w:qFormat/>
    <w:rsid w:val="00787B6F"/>
    <w:pPr>
      <w:ind w:left="720"/>
      <w:contextualSpacing/>
    </w:pPr>
  </w:style>
  <w:style w:type="table" w:styleId="LightShading">
    <w:name w:val="Light Shading"/>
    <w:basedOn w:val="TableNormal"/>
    <w:uiPriority w:val="60"/>
    <w:rsid w:val="0084066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593E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E81"/>
    <w:rPr>
      <w:sz w:val="22"/>
      <w:szCs w:val="22"/>
    </w:rPr>
  </w:style>
  <w:style w:type="paragraph" w:styleId="Footer">
    <w:name w:val="footer"/>
    <w:basedOn w:val="Normal"/>
    <w:link w:val="FooterChar"/>
    <w:uiPriority w:val="99"/>
    <w:unhideWhenUsed/>
    <w:rsid w:val="00593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E81"/>
    <w:rPr>
      <w:sz w:val="22"/>
      <w:szCs w:val="22"/>
    </w:rPr>
  </w:style>
  <w:style w:type="paragraph" w:styleId="Caption">
    <w:name w:val="caption"/>
    <w:basedOn w:val="Normal"/>
    <w:next w:val="Normal"/>
    <w:uiPriority w:val="35"/>
    <w:unhideWhenUsed/>
    <w:qFormat/>
    <w:rsid w:val="005E1A12"/>
    <w:pPr>
      <w:spacing w:line="240" w:lineRule="auto"/>
    </w:pPr>
    <w:rPr>
      <w:b/>
      <w:bCs/>
      <w:color w:val="4F81BD" w:themeColor="accent1"/>
      <w:sz w:val="18"/>
      <w:szCs w:val="18"/>
    </w:rPr>
  </w:style>
  <w:style w:type="paragraph" w:styleId="NormalWeb">
    <w:name w:val="Normal (Web)"/>
    <w:basedOn w:val="Normal"/>
    <w:uiPriority w:val="99"/>
    <w:semiHidden/>
    <w:unhideWhenUsed/>
    <w:rsid w:val="004D7F11"/>
    <w:pPr>
      <w:spacing w:before="100" w:beforeAutospacing="1" w:after="100" w:afterAutospacing="1" w:line="240" w:lineRule="auto"/>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1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51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51A7"/>
    <w:rPr>
      <w:rFonts w:ascii="Tahoma" w:hAnsi="Tahoma" w:cs="Tahoma"/>
      <w:sz w:val="16"/>
      <w:szCs w:val="16"/>
    </w:rPr>
  </w:style>
  <w:style w:type="paragraph" w:styleId="ListParagraph">
    <w:name w:val="List Paragraph"/>
    <w:basedOn w:val="Normal"/>
    <w:uiPriority w:val="34"/>
    <w:qFormat/>
    <w:rsid w:val="00787B6F"/>
    <w:pPr>
      <w:ind w:left="720"/>
      <w:contextualSpacing/>
    </w:pPr>
  </w:style>
  <w:style w:type="table" w:styleId="LightShading">
    <w:name w:val="Light Shading"/>
    <w:basedOn w:val="TableNormal"/>
    <w:uiPriority w:val="60"/>
    <w:rsid w:val="0084066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593E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E81"/>
    <w:rPr>
      <w:sz w:val="22"/>
      <w:szCs w:val="22"/>
    </w:rPr>
  </w:style>
  <w:style w:type="paragraph" w:styleId="Footer">
    <w:name w:val="footer"/>
    <w:basedOn w:val="Normal"/>
    <w:link w:val="FooterChar"/>
    <w:uiPriority w:val="99"/>
    <w:unhideWhenUsed/>
    <w:rsid w:val="00593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E81"/>
    <w:rPr>
      <w:sz w:val="22"/>
      <w:szCs w:val="22"/>
    </w:rPr>
  </w:style>
  <w:style w:type="paragraph" w:styleId="Caption">
    <w:name w:val="caption"/>
    <w:basedOn w:val="Normal"/>
    <w:next w:val="Normal"/>
    <w:uiPriority w:val="35"/>
    <w:unhideWhenUsed/>
    <w:qFormat/>
    <w:rsid w:val="005E1A12"/>
    <w:pPr>
      <w:spacing w:line="240" w:lineRule="auto"/>
    </w:pPr>
    <w:rPr>
      <w:b/>
      <w:bCs/>
      <w:color w:val="4F81BD" w:themeColor="accent1"/>
      <w:sz w:val="18"/>
      <w:szCs w:val="18"/>
    </w:rPr>
  </w:style>
  <w:style w:type="paragraph" w:styleId="NormalWeb">
    <w:name w:val="Normal (Web)"/>
    <w:basedOn w:val="Normal"/>
    <w:uiPriority w:val="99"/>
    <w:semiHidden/>
    <w:unhideWhenUsed/>
    <w:rsid w:val="004D7F11"/>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412905">
      <w:bodyDiv w:val="1"/>
      <w:marLeft w:val="0"/>
      <w:marRight w:val="0"/>
      <w:marTop w:val="0"/>
      <w:marBottom w:val="0"/>
      <w:divBdr>
        <w:top w:val="none" w:sz="0" w:space="0" w:color="auto"/>
        <w:left w:val="none" w:sz="0" w:space="0" w:color="auto"/>
        <w:bottom w:val="none" w:sz="0" w:space="0" w:color="auto"/>
        <w:right w:val="none" w:sz="0" w:space="0" w:color="auto"/>
      </w:divBdr>
    </w:div>
    <w:div w:id="1621301919">
      <w:bodyDiv w:val="1"/>
      <w:marLeft w:val="0"/>
      <w:marRight w:val="0"/>
      <w:marTop w:val="0"/>
      <w:marBottom w:val="0"/>
      <w:divBdr>
        <w:top w:val="none" w:sz="0" w:space="0" w:color="auto"/>
        <w:left w:val="none" w:sz="0" w:space="0" w:color="auto"/>
        <w:bottom w:val="none" w:sz="0" w:space="0" w:color="auto"/>
        <w:right w:val="none" w:sz="0" w:space="0" w:color="auto"/>
      </w:divBdr>
    </w:div>
    <w:div w:id="1651598207">
      <w:bodyDiv w:val="1"/>
      <w:marLeft w:val="0"/>
      <w:marRight w:val="0"/>
      <w:marTop w:val="0"/>
      <w:marBottom w:val="0"/>
      <w:divBdr>
        <w:top w:val="none" w:sz="0" w:space="0" w:color="auto"/>
        <w:left w:val="none" w:sz="0" w:space="0" w:color="auto"/>
        <w:bottom w:val="none" w:sz="0" w:space="0" w:color="auto"/>
        <w:right w:val="none" w:sz="0" w:space="0" w:color="auto"/>
      </w:divBdr>
    </w:div>
    <w:div w:id="197239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chart" Target="charts/chart8.xml"/><Relationship Id="rId31" Type="http://schemas.openxmlformats.org/officeDocument/2006/relationships/chart" Target="charts/chart2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NUMBER OF HUMAN CAUSED</a:t>
            </a:r>
          </a:p>
        </c:rich>
      </c:tx>
      <c:layout/>
      <c:overlay val="0"/>
    </c:title>
    <c:autoTitleDeleted val="0"/>
    <c:plotArea>
      <c:layout/>
      <c:barChart>
        <c:barDir val="col"/>
        <c:grouping val="clustered"/>
        <c:varyColors val="0"/>
        <c:ser>
          <c:idx val="0"/>
          <c:order val="0"/>
          <c:tx>
            <c:strRef>
              <c:f>Charts!$A$1</c:f>
              <c:strCache>
                <c:ptCount val="1"/>
                <c:pt idx="0">
                  <c:v>Human Caused</c:v>
                </c:pt>
              </c:strCache>
            </c:strRef>
          </c:tx>
          <c:invertIfNegative val="0"/>
          <c:dLbls>
            <c:showLegendKey val="0"/>
            <c:showVal val="1"/>
            <c:showCatName val="0"/>
            <c:showSerName val="0"/>
            <c:showPercent val="0"/>
            <c:showBubbleSize val="0"/>
            <c:showLeaderLines val="0"/>
          </c:dLbls>
          <c:cat>
            <c:strRef>
              <c:f>Charts!$A$4:$A$12</c:f>
              <c:strCache>
                <c:ptCount val="9"/>
                <c:pt idx="0">
                  <c:v>2009</c:v>
                </c:pt>
                <c:pt idx="1">
                  <c:v>2010</c:v>
                </c:pt>
                <c:pt idx="2">
                  <c:v>2011</c:v>
                </c:pt>
                <c:pt idx="3">
                  <c:v>2012</c:v>
                </c:pt>
                <c:pt idx="4">
                  <c:v>2013</c:v>
                </c:pt>
                <c:pt idx="5">
                  <c:v>2014</c:v>
                </c:pt>
                <c:pt idx="6">
                  <c:v>2015</c:v>
                </c:pt>
                <c:pt idx="7">
                  <c:v>2016</c:v>
                </c:pt>
                <c:pt idx="8">
                  <c:v>8 YR AVERAGE</c:v>
                </c:pt>
              </c:strCache>
            </c:strRef>
          </c:cat>
          <c:val>
            <c:numRef>
              <c:f>Charts!$B$4:$B$12</c:f>
              <c:numCache>
                <c:formatCode>General</c:formatCode>
                <c:ptCount val="9"/>
                <c:pt idx="0">
                  <c:v>19</c:v>
                </c:pt>
                <c:pt idx="1">
                  <c:v>60</c:v>
                </c:pt>
                <c:pt idx="2">
                  <c:v>77</c:v>
                </c:pt>
                <c:pt idx="3">
                  <c:v>85</c:v>
                </c:pt>
                <c:pt idx="4">
                  <c:v>38</c:v>
                </c:pt>
                <c:pt idx="5">
                  <c:v>39</c:v>
                </c:pt>
                <c:pt idx="6">
                  <c:v>53</c:v>
                </c:pt>
                <c:pt idx="7">
                  <c:v>54</c:v>
                </c:pt>
                <c:pt idx="8">
                  <c:v>53</c:v>
                </c:pt>
              </c:numCache>
            </c:numRef>
          </c:val>
        </c:ser>
        <c:dLbls>
          <c:showLegendKey val="0"/>
          <c:showVal val="0"/>
          <c:showCatName val="0"/>
          <c:showSerName val="0"/>
          <c:showPercent val="0"/>
          <c:showBubbleSize val="0"/>
        </c:dLbls>
        <c:gapWidth val="150"/>
        <c:axId val="45261568"/>
        <c:axId val="45263104"/>
      </c:barChart>
      <c:catAx>
        <c:axId val="45261568"/>
        <c:scaling>
          <c:orientation val="minMax"/>
        </c:scaling>
        <c:delete val="0"/>
        <c:axPos val="b"/>
        <c:numFmt formatCode="General" sourceLinked="1"/>
        <c:majorTickMark val="out"/>
        <c:minorTickMark val="none"/>
        <c:tickLblPos val="nextTo"/>
        <c:crossAx val="45263104"/>
        <c:crosses val="autoZero"/>
        <c:auto val="1"/>
        <c:lblAlgn val="ctr"/>
        <c:lblOffset val="100"/>
        <c:noMultiLvlLbl val="0"/>
      </c:catAx>
      <c:valAx>
        <c:axId val="45263104"/>
        <c:scaling>
          <c:orientation val="minMax"/>
        </c:scaling>
        <c:delete val="0"/>
        <c:axPos val="l"/>
        <c:majorGridlines/>
        <c:numFmt formatCode="General" sourceLinked="1"/>
        <c:majorTickMark val="out"/>
        <c:minorTickMark val="none"/>
        <c:tickLblPos val="nextTo"/>
        <c:crossAx val="4526156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Charts!$E$77</c:f>
              <c:strCache>
                <c:ptCount val="1"/>
                <c:pt idx="0">
                  <c:v>ACERAGE</c:v>
                </c:pt>
              </c:strCache>
            </c:strRef>
          </c:tx>
          <c:invertIfNegative val="0"/>
          <c:dLbls>
            <c:showLegendKey val="0"/>
            <c:showVal val="1"/>
            <c:showCatName val="0"/>
            <c:showSerName val="0"/>
            <c:showPercent val="0"/>
            <c:showBubbleSize val="0"/>
            <c:showLeaderLines val="0"/>
          </c:dLbls>
          <c:cat>
            <c:strRef>
              <c:f>Charts!$A$78:$A$89</c:f>
              <c:strCache>
                <c:ptCount val="12"/>
                <c:pt idx="0">
                  <c:v>RAD</c:v>
                </c:pt>
                <c:pt idx="1">
                  <c:v>RSD</c:v>
                </c:pt>
                <c:pt idx="2">
                  <c:v>KRD</c:v>
                </c:pt>
                <c:pt idx="3">
                  <c:v>PDD</c:v>
                </c:pt>
                <c:pt idx="4">
                  <c:v>ALX</c:v>
                </c:pt>
                <c:pt idx="5">
                  <c:v>CAX</c:v>
                </c:pt>
                <c:pt idx="6">
                  <c:v>LAX</c:v>
                </c:pt>
                <c:pt idx="7">
                  <c:v>LIX</c:v>
                </c:pt>
                <c:pt idx="8">
                  <c:v>SUX</c:v>
                </c:pt>
                <c:pt idx="9">
                  <c:v>SWX</c:v>
                </c:pt>
                <c:pt idx="10">
                  <c:v>UIX</c:v>
                </c:pt>
                <c:pt idx="11">
                  <c:v>WYS</c:v>
                </c:pt>
              </c:strCache>
            </c:strRef>
          </c:cat>
          <c:val>
            <c:numRef>
              <c:f>Charts!$E$78:$E$89</c:f>
              <c:numCache>
                <c:formatCode>General</c:formatCode>
                <c:ptCount val="12"/>
                <c:pt idx="0">
                  <c:v>57</c:v>
                </c:pt>
                <c:pt idx="1">
                  <c:v>194</c:v>
                </c:pt>
                <c:pt idx="2">
                  <c:v>0</c:v>
                </c:pt>
                <c:pt idx="3">
                  <c:v>0.1</c:v>
                </c:pt>
                <c:pt idx="4">
                  <c:v>102</c:v>
                </c:pt>
                <c:pt idx="5">
                  <c:v>12</c:v>
                </c:pt>
                <c:pt idx="6">
                  <c:v>0</c:v>
                </c:pt>
                <c:pt idx="7">
                  <c:v>0</c:v>
                </c:pt>
                <c:pt idx="8">
                  <c:v>0</c:v>
                </c:pt>
                <c:pt idx="9">
                  <c:v>9</c:v>
                </c:pt>
                <c:pt idx="10">
                  <c:v>0</c:v>
                </c:pt>
                <c:pt idx="11">
                  <c:v>27</c:v>
                </c:pt>
              </c:numCache>
            </c:numRef>
          </c:val>
        </c:ser>
        <c:dLbls>
          <c:showLegendKey val="0"/>
          <c:showVal val="0"/>
          <c:showCatName val="0"/>
          <c:showSerName val="0"/>
          <c:showPercent val="0"/>
          <c:showBubbleSize val="0"/>
        </c:dLbls>
        <c:gapWidth val="150"/>
        <c:axId val="48240512"/>
        <c:axId val="48242048"/>
      </c:barChart>
      <c:catAx>
        <c:axId val="48240512"/>
        <c:scaling>
          <c:orientation val="minMax"/>
        </c:scaling>
        <c:delete val="0"/>
        <c:axPos val="b"/>
        <c:majorTickMark val="out"/>
        <c:minorTickMark val="none"/>
        <c:tickLblPos val="nextTo"/>
        <c:crossAx val="48242048"/>
        <c:crosses val="autoZero"/>
        <c:auto val="1"/>
        <c:lblAlgn val="ctr"/>
        <c:lblOffset val="100"/>
        <c:noMultiLvlLbl val="0"/>
      </c:catAx>
      <c:valAx>
        <c:axId val="48242048"/>
        <c:scaling>
          <c:orientation val="minMax"/>
        </c:scaling>
        <c:delete val="0"/>
        <c:axPos val="l"/>
        <c:majorGridlines/>
        <c:numFmt formatCode="General" sourceLinked="1"/>
        <c:majorTickMark val="out"/>
        <c:minorTickMark val="none"/>
        <c:tickLblPos val="nextTo"/>
        <c:crossAx val="4824051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TOTALS FIRES</a:t>
            </a:r>
          </a:p>
        </c:rich>
      </c:tx>
      <c:layout/>
      <c:overlay val="0"/>
    </c:title>
    <c:autoTitleDeleted val="0"/>
    <c:plotArea>
      <c:layout/>
      <c:barChart>
        <c:barDir val="col"/>
        <c:grouping val="clustered"/>
        <c:varyColors val="0"/>
        <c:ser>
          <c:idx val="0"/>
          <c:order val="0"/>
          <c:tx>
            <c:strRef>
              <c:f>Charts!$F$77</c:f>
              <c:strCache>
                <c:ptCount val="1"/>
                <c:pt idx="0">
                  <c:v>TOTALS FIRES</c:v>
                </c:pt>
              </c:strCache>
            </c:strRef>
          </c:tx>
          <c:invertIfNegative val="0"/>
          <c:cat>
            <c:strRef>
              <c:f>Charts!$A$78:$A$89</c:f>
              <c:strCache>
                <c:ptCount val="12"/>
                <c:pt idx="0">
                  <c:v>RAD</c:v>
                </c:pt>
                <c:pt idx="1">
                  <c:v>RSD</c:v>
                </c:pt>
                <c:pt idx="2">
                  <c:v>KRD</c:v>
                </c:pt>
                <c:pt idx="3">
                  <c:v>PDD</c:v>
                </c:pt>
                <c:pt idx="4">
                  <c:v>ALX</c:v>
                </c:pt>
                <c:pt idx="5">
                  <c:v>CAX</c:v>
                </c:pt>
                <c:pt idx="6">
                  <c:v>LAX</c:v>
                </c:pt>
                <c:pt idx="7">
                  <c:v>LIX</c:v>
                </c:pt>
                <c:pt idx="8">
                  <c:v>SUX</c:v>
                </c:pt>
                <c:pt idx="9">
                  <c:v>SWX</c:v>
                </c:pt>
                <c:pt idx="10">
                  <c:v>UIX</c:v>
                </c:pt>
                <c:pt idx="11">
                  <c:v>WYS</c:v>
                </c:pt>
              </c:strCache>
            </c:strRef>
          </c:cat>
          <c:val>
            <c:numRef>
              <c:f>Charts!$F$78:$F$89</c:f>
              <c:numCache>
                <c:formatCode>General</c:formatCode>
                <c:ptCount val="12"/>
                <c:pt idx="0">
                  <c:v>17</c:v>
                </c:pt>
                <c:pt idx="1">
                  <c:v>23</c:v>
                </c:pt>
                <c:pt idx="2">
                  <c:v>6</c:v>
                </c:pt>
                <c:pt idx="3">
                  <c:v>3</c:v>
                </c:pt>
                <c:pt idx="4">
                  <c:v>4</c:v>
                </c:pt>
                <c:pt idx="5">
                  <c:v>7</c:v>
                </c:pt>
                <c:pt idx="6">
                  <c:v>3</c:v>
                </c:pt>
                <c:pt idx="7">
                  <c:v>3</c:v>
                </c:pt>
                <c:pt idx="8">
                  <c:v>2</c:v>
                </c:pt>
                <c:pt idx="9">
                  <c:v>16</c:v>
                </c:pt>
                <c:pt idx="10">
                  <c:v>3</c:v>
                </c:pt>
                <c:pt idx="11">
                  <c:v>3</c:v>
                </c:pt>
              </c:numCache>
            </c:numRef>
          </c:val>
        </c:ser>
        <c:dLbls>
          <c:showLegendKey val="0"/>
          <c:showVal val="0"/>
          <c:showCatName val="0"/>
          <c:showSerName val="0"/>
          <c:showPercent val="0"/>
          <c:showBubbleSize val="0"/>
        </c:dLbls>
        <c:gapWidth val="150"/>
        <c:axId val="48372736"/>
        <c:axId val="48382720"/>
      </c:barChart>
      <c:catAx>
        <c:axId val="48372736"/>
        <c:scaling>
          <c:orientation val="minMax"/>
        </c:scaling>
        <c:delete val="0"/>
        <c:axPos val="b"/>
        <c:majorTickMark val="out"/>
        <c:minorTickMark val="none"/>
        <c:tickLblPos val="nextTo"/>
        <c:crossAx val="48382720"/>
        <c:crosses val="autoZero"/>
        <c:auto val="1"/>
        <c:lblAlgn val="ctr"/>
        <c:lblOffset val="100"/>
        <c:noMultiLvlLbl val="0"/>
      </c:catAx>
      <c:valAx>
        <c:axId val="48382720"/>
        <c:scaling>
          <c:orientation val="minMax"/>
        </c:scaling>
        <c:delete val="0"/>
        <c:axPos val="l"/>
        <c:majorGridlines/>
        <c:numFmt formatCode="General" sourceLinked="1"/>
        <c:majorTickMark val="out"/>
        <c:minorTickMark val="none"/>
        <c:tickLblPos val="nextTo"/>
        <c:crossAx val="4837273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TOTAL ACERAGE</a:t>
            </a:r>
          </a:p>
        </c:rich>
      </c:tx>
      <c:layout/>
      <c:overlay val="0"/>
    </c:title>
    <c:autoTitleDeleted val="0"/>
    <c:plotArea>
      <c:layout/>
      <c:barChart>
        <c:barDir val="col"/>
        <c:grouping val="clustered"/>
        <c:varyColors val="0"/>
        <c:ser>
          <c:idx val="0"/>
          <c:order val="0"/>
          <c:tx>
            <c:strRef>
              <c:f>Charts!$G$77</c:f>
              <c:strCache>
                <c:ptCount val="1"/>
                <c:pt idx="0">
                  <c:v>TOTAL ACERAGE</c:v>
                </c:pt>
              </c:strCache>
            </c:strRef>
          </c:tx>
          <c:invertIfNegative val="0"/>
          <c:cat>
            <c:strRef>
              <c:f>Charts!$A$78:$A$89</c:f>
              <c:strCache>
                <c:ptCount val="12"/>
                <c:pt idx="0">
                  <c:v>RAD</c:v>
                </c:pt>
                <c:pt idx="1">
                  <c:v>RSD</c:v>
                </c:pt>
                <c:pt idx="2">
                  <c:v>KRD</c:v>
                </c:pt>
                <c:pt idx="3">
                  <c:v>PDD</c:v>
                </c:pt>
                <c:pt idx="4">
                  <c:v>ALX</c:v>
                </c:pt>
                <c:pt idx="5">
                  <c:v>CAX</c:v>
                </c:pt>
                <c:pt idx="6">
                  <c:v>LAX</c:v>
                </c:pt>
                <c:pt idx="7">
                  <c:v>LIX</c:v>
                </c:pt>
                <c:pt idx="8">
                  <c:v>SUX</c:v>
                </c:pt>
                <c:pt idx="9">
                  <c:v>SWX</c:v>
                </c:pt>
                <c:pt idx="10">
                  <c:v>UIX</c:v>
                </c:pt>
                <c:pt idx="11">
                  <c:v>WYS</c:v>
                </c:pt>
              </c:strCache>
            </c:strRef>
          </c:cat>
          <c:val>
            <c:numRef>
              <c:f>Charts!$G$78:$G$89</c:f>
              <c:numCache>
                <c:formatCode>General</c:formatCode>
                <c:ptCount val="12"/>
                <c:pt idx="0">
                  <c:v>68</c:v>
                </c:pt>
                <c:pt idx="1">
                  <c:v>197</c:v>
                </c:pt>
                <c:pt idx="2">
                  <c:v>387</c:v>
                </c:pt>
                <c:pt idx="3">
                  <c:v>11</c:v>
                </c:pt>
                <c:pt idx="4">
                  <c:v>104</c:v>
                </c:pt>
                <c:pt idx="5">
                  <c:v>222</c:v>
                </c:pt>
                <c:pt idx="6">
                  <c:v>459</c:v>
                </c:pt>
                <c:pt idx="7">
                  <c:v>15</c:v>
                </c:pt>
                <c:pt idx="8">
                  <c:v>196</c:v>
                </c:pt>
                <c:pt idx="9">
                  <c:v>14</c:v>
                </c:pt>
                <c:pt idx="10">
                  <c:v>924</c:v>
                </c:pt>
                <c:pt idx="11">
                  <c:v>27</c:v>
                </c:pt>
              </c:numCache>
            </c:numRef>
          </c:val>
        </c:ser>
        <c:dLbls>
          <c:showLegendKey val="0"/>
          <c:showVal val="0"/>
          <c:showCatName val="0"/>
          <c:showSerName val="0"/>
          <c:showPercent val="0"/>
          <c:showBubbleSize val="0"/>
        </c:dLbls>
        <c:gapWidth val="150"/>
        <c:axId val="48849280"/>
        <c:axId val="48850816"/>
      </c:barChart>
      <c:catAx>
        <c:axId val="48849280"/>
        <c:scaling>
          <c:orientation val="minMax"/>
        </c:scaling>
        <c:delete val="0"/>
        <c:axPos val="b"/>
        <c:majorTickMark val="out"/>
        <c:minorTickMark val="none"/>
        <c:tickLblPos val="nextTo"/>
        <c:crossAx val="48850816"/>
        <c:crosses val="autoZero"/>
        <c:auto val="1"/>
        <c:lblAlgn val="ctr"/>
        <c:lblOffset val="100"/>
        <c:noMultiLvlLbl val="0"/>
      </c:catAx>
      <c:valAx>
        <c:axId val="48850816"/>
        <c:scaling>
          <c:orientation val="minMax"/>
        </c:scaling>
        <c:delete val="0"/>
        <c:axPos val="l"/>
        <c:majorGridlines/>
        <c:numFmt formatCode="General" sourceLinked="1"/>
        <c:majorTickMark val="out"/>
        <c:minorTickMark val="none"/>
        <c:tickLblPos val="nextTo"/>
        <c:crossAx val="48849280"/>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Charts!$A$126</c:f>
              <c:strCache>
                <c:ptCount val="1"/>
                <c:pt idx="0">
                  <c:v>Snow Spring Creek 481904</c:v>
                </c:pt>
              </c:strCache>
            </c:strRef>
          </c:tx>
          <c:dLbls>
            <c:showLegendKey val="0"/>
            <c:showVal val="1"/>
            <c:showCatName val="0"/>
            <c:showSerName val="0"/>
            <c:showPercent val="0"/>
            <c:showBubbleSize val="0"/>
            <c:showLeaderLines val="1"/>
          </c:dLbls>
          <c:cat>
            <c:numRef>
              <c:f>(Charts!$B$124,Charts!$J$124,Charts!$R$124,Charts!$Z$124,Charts!$AH$124,Charts!$E$133,Charts!$J$133)</c:f>
              <c:numCache>
                <c:formatCode>General</c:formatCode>
                <c:ptCount val="7"/>
                <c:pt idx="0">
                  <c:v>2010</c:v>
                </c:pt>
                <c:pt idx="1">
                  <c:v>2011</c:v>
                </c:pt>
                <c:pt idx="2">
                  <c:v>2012</c:v>
                </c:pt>
                <c:pt idx="3">
                  <c:v>2013</c:v>
                </c:pt>
                <c:pt idx="4">
                  <c:v>2014</c:v>
                </c:pt>
                <c:pt idx="5">
                  <c:v>2015</c:v>
                </c:pt>
                <c:pt idx="6">
                  <c:v>2016</c:v>
                </c:pt>
              </c:numCache>
            </c:numRef>
          </c:cat>
          <c:val>
            <c:numRef>
              <c:f>(Charts!$I$126,Charts!$Q$126,Charts!$Y$126,Charts!$AG$126,Charts!$AO$126,Charts!$Q$135,Charts!$I$135)</c:f>
              <c:numCache>
                <c:formatCode>General</c:formatCode>
                <c:ptCount val="7"/>
                <c:pt idx="0">
                  <c:v>5.87</c:v>
                </c:pt>
                <c:pt idx="1">
                  <c:v>6.38</c:v>
                </c:pt>
                <c:pt idx="2">
                  <c:v>2.69</c:v>
                </c:pt>
                <c:pt idx="3">
                  <c:v>6.92</c:v>
                </c:pt>
                <c:pt idx="4">
                  <c:v>7.63</c:v>
                </c:pt>
                <c:pt idx="5">
                  <c:v>3.9299999999999997</c:v>
                </c:pt>
                <c:pt idx="6">
                  <c:v>12.04</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rtl="0">
            <a:defRPr/>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Charts!$A$127</c:f>
              <c:strCache>
                <c:ptCount val="1"/>
                <c:pt idx="0">
                  <c:v>Dodge Creek 482106</c:v>
                </c:pt>
              </c:strCache>
            </c:strRef>
          </c:tx>
          <c:dLbls>
            <c:showLegendKey val="0"/>
            <c:showVal val="1"/>
            <c:showCatName val="0"/>
            <c:showSerName val="0"/>
            <c:showPercent val="0"/>
            <c:showBubbleSize val="0"/>
            <c:showLeaderLines val="1"/>
          </c:dLbls>
          <c:cat>
            <c:numRef>
              <c:f>(Charts!$B$124,Charts!$J$124,Charts!$R$124,Charts!$Z$124,Charts!$AH$124,Charts!$E$133,Charts!$J$133)</c:f>
              <c:numCache>
                <c:formatCode>General</c:formatCode>
                <c:ptCount val="7"/>
                <c:pt idx="0">
                  <c:v>2010</c:v>
                </c:pt>
                <c:pt idx="1">
                  <c:v>2011</c:v>
                </c:pt>
                <c:pt idx="2">
                  <c:v>2012</c:v>
                </c:pt>
                <c:pt idx="3">
                  <c:v>2013</c:v>
                </c:pt>
                <c:pt idx="4">
                  <c:v>2014</c:v>
                </c:pt>
                <c:pt idx="5">
                  <c:v>2015</c:v>
                </c:pt>
                <c:pt idx="6">
                  <c:v>2016</c:v>
                </c:pt>
              </c:numCache>
            </c:numRef>
          </c:cat>
          <c:val>
            <c:numRef>
              <c:f>(Charts!$I$127,Charts!$Q$127,Charts!$Y$127,Charts!$AG$127,Charts!$AO$127,Charts!$I$136,Charts!$Q$136)</c:f>
              <c:numCache>
                <c:formatCode>General</c:formatCode>
                <c:ptCount val="7"/>
                <c:pt idx="0">
                  <c:v>8.7100000000000009</c:v>
                </c:pt>
                <c:pt idx="1">
                  <c:v>6.5900000000000007</c:v>
                </c:pt>
                <c:pt idx="2">
                  <c:v>4.3099999999999996</c:v>
                </c:pt>
                <c:pt idx="3">
                  <c:v>8.18</c:v>
                </c:pt>
                <c:pt idx="4">
                  <c:v>8.51</c:v>
                </c:pt>
                <c:pt idx="5">
                  <c:v>9.3699999999999974</c:v>
                </c:pt>
                <c:pt idx="6">
                  <c:v>2.29</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rtl="0">
            <a:defRPr/>
          </a:pPr>
          <a:endParaRPr lang="en-U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Charts!$A$128</c:f>
              <c:strCache>
                <c:ptCount val="1"/>
                <c:pt idx="0">
                  <c:v>Muddy Creek 481801</c:v>
                </c:pt>
              </c:strCache>
            </c:strRef>
          </c:tx>
          <c:dLbls>
            <c:showLegendKey val="0"/>
            <c:showVal val="1"/>
            <c:showCatName val="0"/>
            <c:showSerName val="0"/>
            <c:showPercent val="0"/>
            <c:showBubbleSize val="0"/>
            <c:showLeaderLines val="1"/>
          </c:dLbls>
          <c:cat>
            <c:numRef>
              <c:f>(Charts!$B$124,Charts!$J$124,Charts!$R$124,Charts!$Z$124,Charts!$AH$124,Charts!$E$133,Charts!$J$133)</c:f>
              <c:numCache>
                <c:formatCode>General</c:formatCode>
                <c:ptCount val="7"/>
                <c:pt idx="0">
                  <c:v>2010</c:v>
                </c:pt>
                <c:pt idx="1">
                  <c:v>2011</c:v>
                </c:pt>
                <c:pt idx="2">
                  <c:v>2012</c:v>
                </c:pt>
                <c:pt idx="3">
                  <c:v>2013</c:v>
                </c:pt>
                <c:pt idx="4">
                  <c:v>2014</c:v>
                </c:pt>
                <c:pt idx="5">
                  <c:v>2015</c:v>
                </c:pt>
                <c:pt idx="6">
                  <c:v>2016</c:v>
                </c:pt>
              </c:numCache>
            </c:numRef>
          </c:cat>
          <c:val>
            <c:numRef>
              <c:f>(Charts!$I$128,Charts!$Q$128,Charts!$Y$128,Charts!$AG$128,Charts!$AO$128,Charts!$I$137,Charts!$Q$137)</c:f>
              <c:numCache>
                <c:formatCode>General</c:formatCode>
                <c:ptCount val="7"/>
                <c:pt idx="0">
                  <c:v>6.42</c:v>
                </c:pt>
                <c:pt idx="1">
                  <c:v>7.3900000000000006</c:v>
                </c:pt>
                <c:pt idx="2">
                  <c:v>2.4200000000000004</c:v>
                </c:pt>
                <c:pt idx="3">
                  <c:v>8.120000000000001</c:v>
                </c:pt>
                <c:pt idx="4">
                  <c:v>8.82</c:v>
                </c:pt>
                <c:pt idx="5">
                  <c:v>8.5400000000000009</c:v>
                </c:pt>
                <c:pt idx="6">
                  <c:v>3.87</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rtl="0">
            <a:defRPr/>
          </a:pPr>
          <a:endParaRPr lang="en-US"/>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Charts!$A$138</c:f>
              <c:strCache>
                <c:ptCount val="1"/>
                <c:pt idx="0">
                  <c:v>Anderson Ridge 481903</c:v>
                </c:pt>
              </c:strCache>
            </c:strRef>
          </c:tx>
          <c:dLbls>
            <c:showLegendKey val="0"/>
            <c:showVal val="1"/>
            <c:showCatName val="0"/>
            <c:showSerName val="0"/>
            <c:showPercent val="0"/>
            <c:showBubbleSize val="0"/>
            <c:showLeaderLines val="1"/>
          </c:dLbls>
          <c:cat>
            <c:numRef>
              <c:f>(Charts!$B$124,Charts!$J$124,Charts!$R$124,Charts!$Z$124,Charts!$AH$124,Charts!$E$133,Charts!$J$133)</c:f>
              <c:numCache>
                <c:formatCode>General</c:formatCode>
                <c:ptCount val="7"/>
                <c:pt idx="0">
                  <c:v>2010</c:v>
                </c:pt>
                <c:pt idx="1">
                  <c:v>2011</c:v>
                </c:pt>
                <c:pt idx="2">
                  <c:v>2012</c:v>
                </c:pt>
                <c:pt idx="3">
                  <c:v>2013</c:v>
                </c:pt>
                <c:pt idx="4">
                  <c:v>2014</c:v>
                </c:pt>
                <c:pt idx="5">
                  <c:v>2015</c:v>
                </c:pt>
                <c:pt idx="6">
                  <c:v>2016</c:v>
                </c:pt>
              </c:numCache>
            </c:numRef>
          </c:cat>
          <c:val>
            <c:numRef>
              <c:f>(Charts!$I$129,Charts!$Q$129,Charts!$Y$129,Charts!$AG$129,Charts!$AO$129,Charts!$I$138,Charts!$Q$138)</c:f>
              <c:numCache>
                <c:formatCode>General</c:formatCode>
                <c:ptCount val="7"/>
                <c:pt idx="0">
                  <c:v>6.38</c:v>
                </c:pt>
                <c:pt idx="1">
                  <c:v>2.1199999999999997</c:v>
                </c:pt>
                <c:pt idx="2">
                  <c:v>3.25</c:v>
                </c:pt>
                <c:pt idx="3">
                  <c:v>4.68</c:v>
                </c:pt>
                <c:pt idx="4">
                  <c:v>4.3900000000000006</c:v>
                </c:pt>
                <c:pt idx="5">
                  <c:v>6.5</c:v>
                </c:pt>
                <c:pt idx="6">
                  <c:v>5.28</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rtl="0">
            <a:defRPr/>
          </a:pPr>
          <a:endParaRPr lang="en-U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Charts!$A$130</c:f>
              <c:strCache>
                <c:ptCount val="1"/>
                <c:pt idx="0">
                  <c:v>Cow Creek 482011</c:v>
                </c:pt>
              </c:strCache>
            </c:strRef>
          </c:tx>
          <c:dLbls>
            <c:showLegendKey val="0"/>
            <c:showVal val="1"/>
            <c:showCatName val="0"/>
            <c:showSerName val="0"/>
            <c:showPercent val="0"/>
            <c:showBubbleSize val="0"/>
            <c:showLeaderLines val="1"/>
          </c:dLbls>
          <c:cat>
            <c:numRef>
              <c:f>(Charts!$B$124,Charts!$J$124,Charts!$R$124,Charts!$Z$124,Charts!$AH$124,Charts!$E$133,Charts!$J$133)</c:f>
              <c:numCache>
                <c:formatCode>General</c:formatCode>
                <c:ptCount val="7"/>
                <c:pt idx="0">
                  <c:v>2010</c:v>
                </c:pt>
                <c:pt idx="1">
                  <c:v>2011</c:v>
                </c:pt>
                <c:pt idx="2">
                  <c:v>2012</c:v>
                </c:pt>
                <c:pt idx="3">
                  <c:v>2013</c:v>
                </c:pt>
                <c:pt idx="4">
                  <c:v>2014</c:v>
                </c:pt>
                <c:pt idx="5">
                  <c:v>2015</c:v>
                </c:pt>
                <c:pt idx="6">
                  <c:v>2016</c:v>
                </c:pt>
              </c:numCache>
            </c:numRef>
          </c:cat>
          <c:val>
            <c:numRef>
              <c:f>(Charts!$I$130,Charts!$Q$130,Charts!$Y$130,Charts!$AG$130,Charts!$AO$130,Charts!$I$139,Charts!$Q$139)</c:f>
              <c:numCache>
                <c:formatCode>General</c:formatCode>
                <c:ptCount val="7"/>
                <c:pt idx="0">
                  <c:v>9.7700000000000014</c:v>
                </c:pt>
                <c:pt idx="1">
                  <c:v>6.39</c:v>
                </c:pt>
                <c:pt idx="2">
                  <c:v>5.0200000000000005</c:v>
                </c:pt>
                <c:pt idx="3">
                  <c:v>6.62</c:v>
                </c:pt>
                <c:pt idx="4">
                  <c:v>6.76</c:v>
                </c:pt>
                <c:pt idx="5">
                  <c:v>9.5</c:v>
                </c:pt>
                <c:pt idx="6">
                  <c:v>3.04</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rtl="0">
            <a:defRPr/>
          </a:pPr>
          <a:endParaRPr lang="en-US"/>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v>7 year average</c:v>
          </c:tx>
          <c:dLbls>
            <c:showLegendKey val="0"/>
            <c:showVal val="1"/>
            <c:showCatName val="0"/>
            <c:showSerName val="0"/>
            <c:showPercent val="0"/>
            <c:showBubbleSize val="0"/>
            <c:showLeaderLines val="1"/>
          </c:dLbls>
          <c:cat>
            <c:numRef>
              <c:f>(Charts!$B$124,Charts!$J$124,Charts!$R$124,Charts!$Z$124,Charts!$AH$124,Charts!$E$133,Charts!$J$133)</c:f>
              <c:numCache>
                <c:formatCode>General</c:formatCode>
                <c:ptCount val="7"/>
                <c:pt idx="0">
                  <c:v>2010</c:v>
                </c:pt>
                <c:pt idx="1">
                  <c:v>2011</c:v>
                </c:pt>
                <c:pt idx="2">
                  <c:v>2012</c:v>
                </c:pt>
                <c:pt idx="3">
                  <c:v>2013</c:v>
                </c:pt>
                <c:pt idx="4">
                  <c:v>2014</c:v>
                </c:pt>
                <c:pt idx="5">
                  <c:v>2015</c:v>
                </c:pt>
                <c:pt idx="6">
                  <c:v>2016</c:v>
                </c:pt>
              </c:numCache>
            </c:numRef>
          </c:cat>
          <c:val>
            <c:numRef>
              <c:f>(Charts!$I$131,Charts!$Q$131,Charts!$Y$131,Charts!$AG$131,Charts!$AO$131,Charts!$I$140,Charts!$Q$140)</c:f>
              <c:numCache>
                <c:formatCode>General</c:formatCode>
                <c:ptCount val="7"/>
                <c:pt idx="0">
                  <c:v>7.43</c:v>
                </c:pt>
                <c:pt idx="1">
                  <c:v>5.774</c:v>
                </c:pt>
                <c:pt idx="2">
                  <c:v>3.5380000000000003</c:v>
                </c:pt>
                <c:pt idx="3">
                  <c:v>6.903999999999999</c:v>
                </c:pt>
                <c:pt idx="4">
                  <c:v>7.2219999999999995</c:v>
                </c:pt>
                <c:pt idx="5">
                  <c:v>9.19</c:v>
                </c:pt>
                <c:pt idx="6">
                  <c:v>3.6819999999999999</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rtl="0">
            <a:defRPr/>
          </a:pPr>
          <a:endParaRPr lang="en-US"/>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1"/>
          <c:order val="0"/>
          <c:tx>
            <c:strRef>
              <c:f>Charts!$B$173</c:f>
              <c:strCache>
                <c:ptCount val="1"/>
                <c:pt idx="0">
                  <c:v>ROSS orders</c:v>
                </c:pt>
              </c:strCache>
            </c:strRef>
          </c:tx>
          <c:dLbls>
            <c:showLegendKey val="0"/>
            <c:showVal val="1"/>
            <c:showCatName val="0"/>
            <c:showSerName val="0"/>
            <c:showPercent val="0"/>
            <c:showBubbleSize val="0"/>
            <c:showLeaderLines val="1"/>
          </c:dLbls>
          <c:cat>
            <c:strRef>
              <c:f>Charts!$B$174:$B$180</c:f>
              <c:strCache>
                <c:ptCount val="7"/>
                <c:pt idx="0">
                  <c:v>Overhead </c:v>
                </c:pt>
                <c:pt idx="1">
                  <c:v>Engine</c:v>
                </c:pt>
                <c:pt idx="2">
                  <c:v>Crew</c:v>
                </c:pt>
                <c:pt idx="3">
                  <c:v>A/C</c:v>
                </c:pt>
                <c:pt idx="4">
                  <c:v>Equipment</c:v>
                </c:pt>
                <c:pt idx="5">
                  <c:v>Severity</c:v>
                </c:pt>
                <c:pt idx="6">
                  <c:v>SKJP</c:v>
                </c:pt>
              </c:strCache>
            </c:strRef>
          </c:cat>
          <c:val>
            <c:numRef>
              <c:f>Charts!$D$174:$D$180</c:f>
              <c:numCache>
                <c:formatCode>General</c:formatCode>
                <c:ptCount val="7"/>
                <c:pt idx="0">
                  <c:v>57</c:v>
                </c:pt>
                <c:pt idx="1">
                  <c:v>19</c:v>
                </c:pt>
                <c:pt idx="2">
                  <c:v>7</c:v>
                </c:pt>
                <c:pt idx="3">
                  <c:v>17</c:v>
                </c:pt>
                <c:pt idx="4">
                  <c:v>5</c:v>
                </c:pt>
                <c:pt idx="5">
                  <c:v>3</c:v>
                </c:pt>
                <c:pt idx="6">
                  <c:v>1</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rtl="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HUMAN</a:t>
            </a:r>
            <a:r>
              <a:rPr lang="en-US" sz="1200" baseline="0"/>
              <a:t> CAUSED ACERAGE</a:t>
            </a:r>
            <a:endParaRPr lang="en-US" sz="1200"/>
          </a:p>
        </c:rich>
      </c:tx>
      <c:layout/>
      <c:overlay val="0"/>
    </c:title>
    <c:autoTitleDeleted val="0"/>
    <c:plotArea>
      <c:layout/>
      <c:barChart>
        <c:barDir val="col"/>
        <c:grouping val="clustered"/>
        <c:varyColors val="0"/>
        <c:ser>
          <c:idx val="0"/>
          <c:order val="0"/>
          <c:tx>
            <c:strRef>
              <c:f>Charts!$A$1</c:f>
              <c:strCache>
                <c:ptCount val="1"/>
                <c:pt idx="0">
                  <c:v>Human Caused</c:v>
                </c:pt>
              </c:strCache>
            </c:strRef>
          </c:tx>
          <c:invertIfNegative val="0"/>
          <c:dLbls>
            <c:showLegendKey val="0"/>
            <c:showVal val="1"/>
            <c:showCatName val="0"/>
            <c:showSerName val="0"/>
            <c:showPercent val="0"/>
            <c:showBubbleSize val="0"/>
            <c:showLeaderLines val="0"/>
          </c:dLbls>
          <c:cat>
            <c:strRef>
              <c:f>Charts!$A$4:$A$12</c:f>
              <c:strCache>
                <c:ptCount val="9"/>
                <c:pt idx="0">
                  <c:v>2009</c:v>
                </c:pt>
                <c:pt idx="1">
                  <c:v>2010</c:v>
                </c:pt>
                <c:pt idx="2">
                  <c:v>2011</c:v>
                </c:pt>
                <c:pt idx="3">
                  <c:v>2012</c:v>
                </c:pt>
                <c:pt idx="4">
                  <c:v>2013</c:v>
                </c:pt>
                <c:pt idx="5">
                  <c:v>2014</c:v>
                </c:pt>
                <c:pt idx="6">
                  <c:v>2015</c:v>
                </c:pt>
                <c:pt idx="7">
                  <c:v>2016</c:v>
                </c:pt>
                <c:pt idx="8">
                  <c:v>8 YR AVERAGE</c:v>
                </c:pt>
              </c:strCache>
            </c:strRef>
          </c:cat>
          <c:val>
            <c:numRef>
              <c:f>Charts!$C$4:$C$12</c:f>
              <c:numCache>
                <c:formatCode>General</c:formatCode>
                <c:ptCount val="9"/>
                <c:pt idx="0">
                  <c:v>79</c:v>
                </c:pt>
                <c:pt idx="1">
                  <c:v>6397</c:v>
                </c:pt>
                <c:pt idx="2">
                  <c:v>1012</c:v>
                </c:pt>
                <c:pt idx="3">
                  <c:v>16692</c:v>
                </c:pt>
                <c:pt idx="4">
                  <c:v>382</c:v>
                </c:pt>
                <c:pt idx="5">
                  <c:v>453</c:v>
                </c:pt>
                <c:pt idx="6">
                  <c:v>3042</c:v>
                </c:pt>
                <c:pt idx="7">
                  <c:v>2218</c:v>
                </c:pt>
                <c:pt idx="8">
                  <c:v>3784</c:v>
                </c:pt>
              </c:numCache>
            </c:numRef>
          </c:val>
        </c:ser>
        <c:dLbls>
          <c:showLegendKey val="0"/>
          <c:showVal val="0"/>
          <c:showCatName val="0"/>
          <c:showSerName val="0"/>
          <c:showPercent val="0"/>
          <c:showBubbleSize val="0"/>
        </c:dLbls>
        <c:gapWidth val="150"/>
        <c:axId val="45394176"/>
        <c:axId val="45572096"/>
      </c:barChart>
      <c:catAx>
        <c:axId val="45394176"/>
        <c:scaling>
          <c:orientation val="minMax"/>
        </c:scaling>
        <c:delete val="0"/>
        <c:axPos val="b"/>
        <c:numFmt formatCode="General" sourceLinked="1"/>
        <c:majorTickMark val="out"/>
        <c:minorTickMark val="none"/>
        <c:tickLblPos val="nextTo"/>
        <c:crossAx val="45572096"/>
        <c:crosses val="autoZero"/>
        <c:auto val="1"/>
        <c:lblAlgn val="ctr"/>
        <c:lblOffset val="100"/>
        <c:noMultiLvlLbl val="0"/>
      </c:catAx>
      <c:valAx>
        <c:axId val="45572096"/>
        <c:scaling>
          <c:orientation val="minMax"/>
        </c:scaling>
        <c:delete val="0"/>
        <c:axPos val="l"/>
        <c:majorGridlines/>
        <c:numFmt formatCode="General" sourceLinked="1"/>
        <c:majorTickMark val="out"/>
        <c:minorTickMark val="none"/>
        <c:tickLblPos val="nextTo"/>
        <c:crossAx val="45394176"/>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Aviation Costs</c:v>
                </c:pt>
              </c:strCache>
            </c:strRef>
          </c:tx>
          <c:dLbls>
            <c:showLegendKey val="0"/>
            <c:showVal val="0"/>
            <c:showCatName val="0"/>
            <c:showSerName val="0"/>
            <c:showPercent val="1"/>
            <c:showBubbleSize val="0"/>
            <c:showLeaderLines val="1"/>
          </c:dLbls>
          <c:cat>
            <c:strRef>
              <c:f>Sheet1!$A$2:$A$3</c:f>
              <c:strCache>
                <c:ptCount val="2"/>
                <c:pt idx="0">
                  <c:v>Resource - $127,883</c:v>
                </c:pt>
                <c:pt idx="1">
                  <c:v>Fire - $1,195,321</c:v>
                </c:pt>
              </c:strCache>
            </c:strRef>
          </c:cat>
          <c:val>
            <c:numRef>
              <c:f>Sheet1!$B$2:$B$3</c:f>
              <c:numCache>
                <c:formatCode>General</c:formatCode>
                <c:ptCount val="2"/>
                <c:pt idx="0">
                  <c:v>127883</c:v>
                </c:pt>
                <c:pt idx="1">
                  <c:v>1195321</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Aviation Hours</c:v>
                </c:pt>
              </c:strCache>
            </c:strRef>
          </c:tx>
          <c:dLbls>
            <c:showLegendKey val="0"/>
            <c:showVal val="0"/>
            <c:showCatName val="0"/>
            <c:showSerName val="0"/>
            <c:showPercent val="1"/>
            <c:showBubbleSize val="0"/>
            <c:showLeaderLines val="1"/>
          </c:dLbls>
          <c:cat>
            <c:strRef>
              <c:f>Sheet1!$A$2:$A$3</c:f>
              <c:strCache>
                <c:ptCount val="2"/>
                <c:pt idx="0">
                  <c:v>Resource - 140.1 Hours</c:v>
                </c:pt>
                <c:pt idx="1">
                  <c:v>Fire - 257.7 Hours</c:v>
                </c:pt>
              </c:strCache>
            </c:strRef>
          </c:cat>
          <c:val>
            <c:numRef>
              <c:f>Sheet1!$B$2:$B$3</c:f>
              <c:numCache>
                <c:formatCode>General</c:formatCode>
                <c:ptCount val="2"/>
                <c:pt idx="0">
                  <c:v>140.1</c:v>
                </c:pt>
                <c:pt idx="1">
                  <c:v>257.7</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Fire Aviation Utilization</a:t>
            </a:r>
          </a:p>
        </c:rich>
      </c:tx>
      <c:layout/>
      <c:overlay val="0"/>
    </c:title>
    <c:autoTitleDeleted val="0"/>
    <c:plotArea>
      <c:layout/>
      <c:pieChart>
        <c:varyColors val="1"/>
        <c:ser>
          <c:idx val="0"/>
          <c:order val="0"/>
          <c:tx>
            <c:strRef>
              <c:f>Sheet1!$B$1</c:f>
              <c:strCache>
                <c:ptCount val="1"/>
                <c:pt idx="0">
                  <c:v>Fire Flight time by Aircraft Type</c:v>
                </c:pt>
              </c:strCache>
            </c:strRef>
          </c:tx>
          <c:dLbls>
            <c:showLegendKey val="0"/>
            <c:showVal val="0"/>
            <c:showCatName val="0"/>
            <c:showSerName val="0"/>
            <c:showPercent val="1"/>
            <c:showBubbleSize val="0"/>
            <c:showLeaderLines val="1"/>
          </c:dLbls>
          <c:cat>
            <c:strRef>
              <c:f>Sheet1!$A$2:$A$10</c:f>
              <c:strCache>
                <c:ptCount val="9"/>
                <c:pt idx="0">
                  <c:v>Type 1 Helicopter - 52.7 Hours</c:v>
                </c:pt>
                <c:pt idx="1">
                  <c:v>Type 2 Helicopter - 6.9 Hours</c:v>
                </c:pt>
                <c:pt idx="2">
                  <c:v>Type 3 Helicoper - 55 Hours</c:v>
                </c:pt>
                <c:pt idx="3">
                  <c:v>Air Attack - 60.5 Hours</c:v>
                </c:pt>
                <c:pt idx="4">
                  <c:v>Smokejumper Aircraft - 3.7 Hours</c:v>
                </c:pt>
                <c:pt idx="5">
                  <c:v>Multi Mission/ Recon - 17.5 Hours</c:v>
                </c:pt>
                <c:pt idx="6">
                  <c:v>Heavy Air Tanker - 13.1 Hours</c:v>
                </c:pt>
                <c:pt idx="7">
                  <c:v>Single Engine Air Tanker - 51.87 Hours</c:v>
                </c:pt>
                <c:pt idx="8">
                  <c:v>Very Large Air Tanker - 8.1 Hours</c:v>
                </c:pt>
              </c:strCache>
            </c:strRef>
          </c:cat>
          <c:val>
            <c:numRef>
              <c:f>Sheet1!$B$2:$B$10</c:f>
              <c:numCache>
                <c:formatCode>General</c:formatCode>
                <c:ptCount val="9"/>
                <c:pt idx="0">
                  <c:v>52.7</c:v>
                </c:pt>
                <c:pt idx="1">
                  <c:v>6.9</c:v>
                </c:pt>
                <c:pt idx="2">
                  <c:v>55</c:v>
                </c:pt>
                <c:pt idx="3">
                  <c:v>60.5</c:v>
                </c:pt>
                <c:pt idx="4">
                  <c:v>3.7</c:v>
                </c:pt>
                <c:pt idx="5">
                  <c:v>17.5</c:v>
                </c:pt>
                <c:pt idx="6">
                  <c:v>13.1</c:v>
                </c:pt>
                <c:pt idx="7">
                  <c:v>51.8</c:v>
                </c:pt>
                <c:pt idx="8">
                  <c:v>8.1</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Fire Aviation</a:t>
            </a:r>
            <a:r>
              <a:rPr lang="en-US" baseline="0"/>
              <a:t> Costs</a:t>
            </a:r>
            <a:endParaRPr lang="en-US"/>
          </a:p>
        </c:rich>
      </c:tx>
      <c:layout/>
      <c:overlay val="0"/>
    </c:title>
    <c:autoTitleDeleted val="0"/>
    <c:plotArea>
      <c:layout/>
      <c:pieChart>
        <c:varyColors val="1"/>
        <c:ser>
          <c:idx val="0"/>
          <c:order val="0"/>
          <c:tx>
            <c:strRef>
              <c:f>Sheet1!$B$1</c:f>
              <c:strCache>
                <c:ptCount val="1"/>
                <c:pt idx="0">
                  <c:v>Sales</c:v>
                </c:pt>
              </c:strCache>
            </c:strRef>
          </c:tx>
          <c:dLbls>
            <c:showLegendKey val="0"/>
            <c:showVal val="0"/>
            <c:showCatName val="0"/>
            <c:showSerName val="0"/>
            <c:showPercent val="1"/>
            <c:showBubbleSize val="0"/>
            <c:showLeaderLines val="1"/>
          </c:dLbls>
          <c:cat>
            <c:strRef>
              <c:f>Sheet1!$A$2:$A$10</c:f>
              <c:strCache>
                <c:ptCount val="9"/>
                <c:pt idx="0">
                  <c:v>Type 1 Helicopter - $365,808</c:v>
                </c:pt>
                <c:pt idx="1">
                  <c:v>Type 2 Helicopter - $30,617</c:v>
                </c:pt>
                <c:pt idx="2">
                  <c:v>Type 3 Helicopter - $111,162</c:v>
                </c:pt>
                <c:pt idx="3">
                  <c:v>Air Attack - $87,042</c:v>
                </c:pt>
                <c:pt idx="4">
                  <c:v>Smokejumper Aircraft - $7,604</c:v>
                </c:pt>
                <c:pt idx="5">
                  <c:v>Multi Mission/ Recon - $18,150</c:v>
                </c:pt>
                <c:pt idx="6">
                  <c:v>Heavy Air Tanker - $170,234</c:v>
                </c:pt>
                <c:pt idx="7">
                  <c:v>Single Engine Air Tanker - $144,651</c:v>
                </c:pt>
                <c:pt idx="8">
                  <c:v>Very Large Air Tanker - $249,254</c:v>
                </c:pt>
              </c:strCache>
            </c:strRef>
          </c:cat>
          <c:val>
            <c:numRef>
              <c:f>Sheet1!$B$2:$B$10</c:f>
              <c:numCache>
                <c:formatCode>General</c:formatCode>
                <c:ptCount val="9"/>
                <c:pt idx="0">
                  <c:v>365808</c:v>
                </c:pt>
                <c:pt idx="1">
                  <c:v>30617</c:v>
                </c:pt>
                <c:pt idx="2">
                  <c:v>111162</c:v>
                </c:pt>
                <c:pt idx="3">
                  <c:v>87042</c:v>
                </c:pt>
                <c:pt idx="4">
                  <c:v>7604</c:v>
                </c:pt>
                <c:pt idx="5">
                  <c:v>18150</c:v>
                </c:pt>
                <c:pt idx="6">
                  <c:v>170234</c:v>
                </c:pt>
                <c:pt idx="7">
                  <c:v>144651</c:v>
                </c:pt>
                <c:pt idx="8">
                  <c:v>249254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2208351560221631"/>
          <c:y val="0.17335583633418741"/>
          <c:w val="0.36402759550889474"/>
          <c:h val="0.7280459389602618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NUMBER OF NATURAL FIRES</a:t>
            </a:r>
          </a:p>
        </c:rich>
      </c:tx>
      <c:layout/>
      <c:overlay val="0"/>
    </c:title>
    <c:autoTitleDeleted val="0"/>
    <c:plotArea>
      <c:layout/>
      <c:barChart>
        <c:barDir val="col"/>
        <c:grouping val="clustered"/>
        <c:varyColors val="0"/>
        <c:ser>
          <c:idx val="0"/>
          <c:order val="0"/>
          <c:tx>
            <c:strRef>
              <c:f>Charts!$B$24</c:f>
              <c:strCache>
                <c:ptCount val="1"/>
                <c:pt idx="0">
                  <c:v>Fires</c:v>
                </c:pt>
              </c:strCache>
            </c:strRef>
          </c:tx>
          <c:invertIfNegative val="0"/>
          <c:dLbls>
            <c:showLegendKey val="0"/>
            <c:showVal val="1"/>
            <c:showCatName val="0"/>
            <c:showSerName val="0"/>
            <c:showPercent val="0"/>
            <c:showBubbleSize val="0"/>
            <c:showLeaderLines val="0"/>
          </c:dLbls>
          <c:cat>
            <c:strRef>
              <c:f>Charts!$A$25:$A$33</c:f>
              <c:strCache>
                <c:ptCount val="9"/>
                <c:pt idx="0">
                  <c:v>2009</c:v>
                </c:pt>
                <c:pt idx="1">
                  <c:v>2010</c:v>
                </c:pt>
                <c:pt idx="2">
                  <c:v>2011</c:v>
                </c:pt>
                <c:pt idx="3">
                  <c:v>2012</c:v>
                </c:pt>
                <c:pt idx="4">
                  <c:v>2013</c:v>
                </c:pt>
                <c:pt idx="5">
                  <c:v>2014</c:v>
                </c:pt>
                <c:pt idx="6">
                  <c:v>2015</c:v>
                </c:pt>
                <c:pt idx="7">
                  <c:v>2016</c:v>
                </c:pt>
                <c:pt idx="8">
                  <c:v>8 YR AVERAGE</c:v>
                </c:pt>
              </c:strCache>
            </c:strRef>
          </c:cat>
          <c:val>
            <c:numRef>
              <c:f>Charts!$B$25:$B$33</c:f>
              <c:numCache>
                <c:formatCode>General</c:formatCode>
                <c:ptCount val="9"/>
                <c:pt idx="0">
                  <c:v>47</c:v>
                </c:pt>
                <c:pt idx="1">
                  <c:v>50</c:v>
                </c:pt>
                <c:pt idx="2">
                  <c:v>40</c:v>
                </c:pt>
                <c:pt idx="3">
                  <c:v>62</c:v>
                </c:pt>
                <c:pt idx="4">
                  <c:v>32</c:v>
                </c:pt>
                <c:pt idx="5">
                  <c:v>27</c:v>
                </c:pt>
                <c:pt idx="6">
                  <c:v>44</c:v>
                </c:pt>
                <c:pt idx="7">
                  <c:v>34</c:v>
                </c:pt>
                <c:pt idx="8">
                  <c:v>42</c:v>
                </c:pt>
              </c:numCache>
            </c:numRef>
          </c:val>
        </c:ser>
        <c:dLbls>
          <c:showLegendKey val="0"/>
          <c:showVal val="0"/>
          <c:showCatName val="0"/>
          <c:showSerName val="0"/>
          <c:showPercent val="0"/>
          <c:showBubbleSize val="0"/>
        </c:dLbls>
        <c:gapWidth val="150"/>
        <c:axId val="45611264"/>
        <c:axId val="45617152"/>
      </c:barChart>
      <c:catAx>
        <c:axId val="45611264"/>
        <c:scaling>
          <c:orientation val="minMax"/>
        </c:scaling>
        <c:delete val="0"/>
        <c:axPos val="b"/>
        <c:numFmt formatCode="General" sourceLinked="1"/>
        <c:majorTickMark val="out"/>
        <c:minorTickMark val="none"/>
        <c:tickLblPos val="nextTo"/>
        <c:crossAx val="45617152"/>
        <c:crosses val="autoZero"/>
        <c:auto val="1"/>
        <c:lblAlgn val="ctr"/>
        <c:lblOffset val="100"/>
        <c:noMultiLvlLbl val="0"/>
      </c:catAx>
      <c:valAx>
        <c:axId val="45617152"/>
        <c:scaling>
          <c:orientation val="minMax"/>
        </c:scaling>
        <c:delete val="0"/>
        <c:axPos val="l"/>
        <c:majorGridlines/>
        <c:numFmt formatCode="General" sourceLinked="1"/>
        <c:majorTickMark val="out"/>
        <c:minorTickMark val="none"/>
        <c:tickLblPos val="nextTo"/>
        <c:crossAx val="4561126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ACERAGE OF LIGHTNING CAUSED FIRES</a:t>
            </a:r>
          </a:p>
        </c:rich>
      </c:tx>
      <c:layout/>
      <c:overlay val="0"/>
    </c:title>
    <c:autoTitleDeleted val="0"/>
    <c:plotArea>
      <c:layout>
        <c:manualLayout>
          <c:layoutTarget val="inner"/>
          <c:xMode val="edge"/>
          <c:yMode val="edge"/>
          <c:x val="0.14923363302991383"/>
          <c:y val="0.15042703328218157"/>
          <c:w val="0.69896816695381436"/>
          <c:h val="0.61814797112022335"/>
        </c:manualLayout>
      </c:layout>
      <c:barChart>
        <c:barDir val="col"/>
        <c:grouping val="clustered"/>
        <c:varyColors val="0"/>
        <c:ser>
          <c:idx val="0"/>
          <c:order val="0"/>
          <c:tx>
            <c:v>Number of Lightning Caused Fires</c:v>
          </c:tx>
          <c:invertIfNegative val="0"/>
          <c:dLbls>
            <c:showLegendKey val="0"/>
            <c:showVal val="1"/>
            <c:showCatName val="0"/>
            <c:showSerName val="0"/>
            <c:showPercent val="0"/>
            <c:showBubbleSize val="0"/>
            <c:showLeaderLines val="0"/>
          </c:dLbls>
          <c:cat>
            <c:strRef>
              <c:f>Charts!$A$25:$A$33</c:f>
              <c:strCache>
                <c:ptCount val="9"/>
                <c:pt idx="0">
                  <c:v>2009</c:v>
                </c:pt>
                <c:pt idx="1">
                  <c:v>2010</c:v>
                </c:pt>
                <c:pt idx="2">
                  <c:v>2011</c:v>
                </c:pt>
                <c:pt idx="3">
                  <c:v>2012</c:v>
                </c:pt>
                <c:pt idx="4">
                  <c:v>2013</c:v>
                </c:pt>
                <c:pt idx="5">
                  <c:v>2014</c:v>
                </c:pt>
                <c:pt idx="6">
                  <c:v>2015</c:v>
                </c:pt>
                <c:pt idx="7">
                  <c:v>2016</c:v>
                </c:pt>
                <c:pt idx="8">
                  <c:v>8 YR AVERAGE</c:v>
                </c:pt>
              </c:strCache>
            </c:strRef>
          </c:cat>
          <c:val>
            <c:numRef>
              <c:f>Charts!$C$25:$C$33</c:f>
              <c:numCache>
                <c:formatCode>General</c:formatCode>
                <c:ptCount val="9"/>
                <c:pt idx="0">
                  <c:v>26</c:v>
                </c:pt>
                <c:pt idx="1">
                  <c:v>220</c:v>
                </c:pt>
                <c:pt idx="2">
                  <c:v>4898</c:v>
                </c:pt>
                <c:pt idx="3">
                  <c:v>34770</c:v>
                </c:pt>
                <c:pt idx="4">
                  <c:v>175</c:v>
                </c:pt>
                <c:pt idx="5">
                  <c:v>71</c:v>
                </c:pt>
                <c:pt idx="6">
                  <c:v>1742</c:v>
                </c:pt>
                <c:pt idx="7">
                  <c:v>401</c:v>
                </c:pt>
                <c:pt idx="8">
                  <c:v>5288</c:v>
                </c:pt>
              </c:numCache>
            </c:numRef>
          </c:val>
        </c:ser>
        <c:dLbls>
          <c:showLegendKey val="0"/>
          <c:showVal val="0"/>
          <c:showCatName val="0"/>
          <c:showSerName val="0"/>
          <c:showPercent val="0"/>
          <c:showBubbleSize val="0"/>
        </c:dLbls>
        <c:gapWidth val="150"/>
        <c:axId val="45719552"/>
        <c:axId val="45721088"/>
      </c:barChart>
      <c:catAx>
        <c:axId val="45719552"/>
        <c:scaling>
          <c:orientation val="minMax"/>
        </c:scaling>
        <c:delete val="0"/>
        <c:axPos val="b"/>
        <c:numFmt formatCode="General" sourceLinked="1"/>
        <c:majorTickMark val="out"/>
        <c:minorTickMark val="none"/>
        <c:tickLblPos val="low"/>
        <c:crossAx val="45721088"/>
        <c:crosses val="autoZero"/>
        <c:auto val="1"/>
        <c:lblAlgn val="ctr"/>
        <c:lblOffset val="100"/>
        <c:noMultiLvlLbl val="0"/>
      </c:catAx>
      <c:valAx>
        <c:axId val="45721088"/>
        <c:scaling>
          <c:orientation val="minMax"/>
        </c:scaling>
        <c:delete val="0"/>
        <c:axPos val="l"/>
        <c:majorGridlines/>
        <c:numFmt formatCode="General" sourceLinked="1"/>
        <c:majorTickMark val="out"/>
        <c:minorTickMark val="none"/>
        <c:tickLblPos val="nextTo"/>
        <c:crossAx val="4571955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TOTAL FIRES</a:t>
            </a:r>
          </a:p>
        </c:rich>
      </c:tx>
      <c:layout/>
      <c:overlay val="0"/>
    </c:title>
    <c:autoTitleDeleted val="0"/>
    <c:plotArea>
      <c:layout>
        <c:manualLayout>
          <c:layoutTarget val="inner"/>
          <c:xMode val="edge"/>
          <c:yMode val="edge"/>
          <c:x val="6.643285214348206E-2"/>
          <c:y val="0.17177092446777487"/>
          <c:w val="0.89745603674540686"/>
          <c:h val="0.65716972878390201"/>
        </c:manualLayout>
      </c:layout>
      <c:barChart>
        <c:barDir val="col"/>
        <c:grouping val="clustered"/>
        <c:varyColors val="0"/>
        <c:ser>
          <c:idx val="0"/>
          <c:order val="0"/>
          <c:tx>
            <c:v>TOTAL FIRES</c:v>
          </c:tx>
          <c:invertIfNegative val="0"/>
          <c:dLbls>
            <c:showLegendKey val="0"/>
            <c:showVal val="1"/>
            <c:showCatName val="0"/>
            <c:showSerName val="0"/>
            <c:showPercent val="0"/>
            <c:showBubbleSize val="0"/>
            <c:showLeaderLines val="0"/>
          </c:dLbls>
          <c:cat>
            <c:strRef>
              <c:f>Charts!$A$47:$A$55</c:f>
              <c:strCache>
                <c:ptCount val="9"/>
                <c:pt idx="0">
                  <c:v>2009</c:v>
                </c:pt>
                <c:pt idx="1">
                  <c:v>2010</c:v>
                </c:pt>
                <c:pt idx="2">
                  <c:v>2011</c:v>
                </c:pt>
                <c:pt idx="3">
                  <c:v>2012</c:v>
                </c:pt>
                <c:pt idx="4">
                  <c:v>2013</c:v>
                </c:pt>
                <c:pt idx="5">
                  <c:v>2014</c:v>
                </c:pt>
                <c:pt idx="6">
                  <c:v>2015</c:v>
                </c:pt>
                <c:pt idx="7">
                  <c:v>2016</c:v>
                </c:pt>
                <c:pt idx="8">
                  <c:v>8 YR AVERAGE</c:v>
                </c:pt>
              </c:strCache>
            </c:strRef>
          </c:cat>
          <c:val>
            <c:numRef>
              <c:f>Charts!$B$47:$B$55</c:f>
              <c:numCache>
                <c:formatCode>General</c:formatCode>
                <c:ptCount val="9"/>
                <c:pt idx="0">
                  <c:v>19</c:v>
                </c:pt>
                <c:pt idx="1">
                  <c:v>60</c:v>
                </c:pt>
                <c:pt idx="2">
                  <c:v>77</c:v>
                </c:pt>
                <c:pt idx="3">
                  <c:v>85</c:v>
                </c:pt>
                <c:pt idx="4">
                  <c:v>38</c:v>
                </c:pt>
                <c:pt idx="5">
                  <c:v>39</c:v>
                </c:pt>
                <c:pt idx="6">
                  <c:v>53</c:v>
                </c:pt>
                <c:pt idx="7">
                  <c:v>54</c:v>
                </c:pt>
                <c:pt idx="8" formatCode="0">
                  <c:v>53.125</c:v>
                </c:pt>
              </c:numCache>
            </c:numRef>
          </c:val>
        </c:ser>
        <c:dLbls>
          <c:showLegendKey val="0"/>
          <c:showVal val="0"/>
          <c:showCatName val="0"/>
          <c:showSerName val="0"/>
          <c:showPercent val="0"/>
          <c:showBubbleSize val="0"/>
        </c:dLbls>
        <c:gapWidth val="150"/>
        <c:axId val="46638592"/>
        <c:axId val="46640128"/>
      </c:barChart>
      <c:catAx>
        <c:axId val="46638592"/>
        <c:scaling>
          <c:orientation val="minMax"/>
        </c:scaling>
        <c:delete val="0"/>
        <c:axPos val="b"/>
        <c:numFmt formatCode="General" sourceLinked="1"/>
        <c:majorTickMark val="out"/>
        <c:minorTickMark val="none"/>
        <c:tickLblPos val="nextTo"/>
        <c:crossAx val="46640128"/>
        <c:crosses val="autoZero"/>
        <c:auto val="1"/>
        <c:lblAlgn val="ctr"/>
        <c:lblOffset val="100"/>
        <c:noMultiLvlLbl val="0"/>
      </c:catAx>
      <c:valAx>
        <c:axId val="46640128"/>
        <c:scaling>
          <c:orientation val="minMax"/>
        </c:scaling>
        <c:delete val="0"/>
        <c:axPos val="l"/>
        <c:majorGridlines/>
        <c:numFmt formatCode="General" sourceLinked="1"/>
        <c:majorTickMark val="out"/>
        <c:minorTickMark val="none"/>
        <c:tickLblPos val="nextTo"/>
        <c:crossAx val="4663859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TOTAL ACERAGE BURNED</a:t>
            </a:r>
          </a:p>
        </c:rich>
      </c:tx>
      <c:layout/>
      <c:overlay val="0"/>
    </c:title>
    <c:autoTitleDeleted val="0"/>
    <c:plotArea>
      <c:layout/>
      <c:barChart>
        <c:barDir val="col"/>
        <c:grouping val="clustered"/>
        <c:varyColors val="0"/>
        <c:ser>
          <c:idx val="0"/>
          <c:order val="0"/>
          <c:tx>
            <c:v>TOTAL ACERAGE BURNED</c:v>
          </c:tx>
          <c:invertIfNegative val="0"/>
          <c:dLbls>
            <c:showLegendKey val="0"/>
            <c:showVal val="1"/>
            <c:showCatName val="0"/>
            <c:showSerName val="0"/>
            <c:showPercent val="0"/>
            <c:showBubbleSize val="0"/>
            <c:showLeaderLines val="0"/>
          </c:dLbls>
          <c:cat>
            <c:strRef>
              <c:f>Charts!$A$47:$A$55</c:f>
              <c:strCache>
                <c:ptCount val="9"/>
                <c:pt idx="0">
                  <c:v>2009</c:v>
                </c:pt>
                <c:pt idx="1">
                  <c:v>2010</c:v>
                </c:pt>
                <c:pt idx="2">
                  <c:v>2011</c:v>
                </c:pt>
                <c:pt idx="3">
                  <c:v>2012</c:v>
                </c:pt>
                <c:pt idx="4">
                  <c:v>2013</c:v>
                </c:pt>
                <c:pt idx="5">
                  <c:v>2014</c:v>
                </c:pt>
                <c:pt idx="6">
                  <c:v>2015</c:v>
                </c:pt>
                <c:pt idx="7">
                  <c:v>2016</c:v>
                </c:pt>
                <c:pt idx="8">
                  <c:v>8 YR AVERAGE</c:v>
                </c:pt>
              </c:strCache>
            </c:strRef>
          </c:cat>
          <c:val>
            <c:numRef>
              <c:f>Charts!$E$47:$E$55</c:f>
              <c:numCache>
                <c:formatCode>General</c:formatCode>
                <c:ptCount val="9"/>
                <c:pt idx="0">
                  <c:v>105</c:v>
                </c:pt>
                <c:pt idx="1">
                  <c:v>6618</c:v>
                </c:pt>
                <c:pt idx="2">
                  <c:v>6111</c:v>
                </c:pt>
                <c:pt idx="3">
                  <c:v>51464</c:v>
                </c:pt>
                <c:pt idx="4">
                  <c:v>557</c:v>
                </c:pt>
                <c:pt idx="5">
                  <c:v>525</c:v>
                </c:pt>
                <c:pt idx="6">
                  <c:v>4632</c:v>
                </c:pt>
                <c:pt idx="7">
                  <c:v>2697</c:v>
                </c:pt>
                <c:pt idx="8">
                  <c:v>9089</c:v>
                </c:pt>
              </c:numCache>
            </c:numRef>
          </c:val>
        </c:ser>
        <c:dLbls>
          <c:showLegendKey val="0"/>
          <c:showVal val="0"/>
          <c:showCatName val="0"/>
          <c:showSerName val="0"/>
          <c:showPercent val="0"/>
          <c:showBubbleSize val="0"/>
        </c:dLbls>
        <c:gapWidth val="150"/>
        <c:axId val="47140224"/>
        <c:axId val="47142016"/>
      </c:barChart>
      <c:catAx>
        <c:axId val="47140224"/>
        <c:scaling>
          <c:orientation val="minMax"/>
        </c:scaling>
        <c:delete val="0"/>
        <c:axPos val="b"/>
        <c:majorTickMark val="out"/>
        <c:minorTickMark val="none"/>
        <c:tickLblPos val="nextTo"/>
        <c:crossAx val="47142016"/>
        <c:crosses val="autoZero"/>
        <c:auto val="1"/>
        <c:lblAlgn val="ctr"/>
        <c:lblOffset val="100"/>
        <c:noMultiLvlLbl val="0"/>
      </c:catAx>
      <c:valAx>
        <c:axId val="47142016"/>
        <c:scaling>
          <c:orientation val="minMax"/>
        </c:scaling>
        <c:delete val="0"/>
        <c:axPos val="l"/>
        <c:majorGridlines/>
        <c:numFmt formatCode="General" sourceLinked="1"/>
        <c:majorTickMark val="out"/>
        <c:minorTickMark val="none"/>
        <c:tickLblPos val="nextTo"/>
        <c:crossAx val="4714022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HUMAN CAUSED</a:t>
            </a:r>
          </a:p>
        </c:rich>
      </c:tx>
      <c:layout/>
      <c:overlay val="0"/>
    </c:title>
    <c:autoTitleDeleted val="0"/>
    <c:plotArea>
      <c:layout/>
      <c:barChart>
        <c:barDir val="col"/>
        <c:grouping val="clustered"/>
        <c:varyColors val="0"/>
        <c:ser>
          <c:idx val="0"/>
          <c:order val="0"/>
          <c:tx>
            <c:strRef>
              <c:f>Charts!$B$77</c:f>
              <c:strCache>
                <c:ptCount val="1"/>
                <c:pt idx="0">
                  <c:v>HUMAN CAUSED</c:v>
                </c:pt>
              </c:strCache>
            </c:strRef>
          </c:tx>
          <c:invertIfNegative val="0"/>
          <c:dLbls>
            <c:showLegendKey val="0"/>
            <c:showVal val="1"/>
            <c:showCatName val="0"/>
            <c:showSerName val="0"/>
            <c:showPercent val="0"/>
            <c:showBubbleSize val="0"/>
            <c:showLeaderLines val="0"/>
          </c:dLbls>
          <c:cat>
            <c:strRef>
              <c:f>Charts!$A$78:$A$89</c:f>
              <c:strCache>
                <c:ptCount val="12"/>
                <c:pt idx="0">
                  <c:v>RAD</c:v>
                </c:pt>
                <c:pt idx="1">
                  <c:v>RSD</c:v>
                </c:pt>
                <c:pt idx="2">
                  <c:v>KRD</c:v>
                </c:pt>
                <c:pt idx="3">
                  <c:v>PDD</c:v>
                </c:pt>
                <c:pt idx="4">
                  <c:v>ALX</c:v>
                </c:pt>
                <c:pt idx="5">
                  <c:v>CAX</c:v>
                </c:pt>
                <c:pt idx="6">
                  <c:v>LAX</c:v>
                </c:pt>
                <c:pt idx="7">
                  <c:v>LIX</c:v>
                </c:pt>
                <c:pt idx="8">
                  <c:v>SUX</c:v>
                </c:pt>
                <c:pt idx="9">
                  <c:v>SWX</c:v>
                </c:pt>
                <c:pt idx="10">
                  <c:v>UIX</c:v>
                </c:pt>
                <c:pt idx="11">
                  <c:v>WYS</c:v>
                </c:pt>
              </c:strCache>
            </c:strRef>
          </c:cat>
          <c:val>
            <c:numRef>
              <c:f>Charts!$B$78:$B$89</c:f>
              <c:numCache>
                <c:formatCode>General</c:formatCode>
                <c:ptCount val="12"/>
                <c:pt idx="0">
                  <c:v>6</c:v>
                </c:pt>
                <c:pt idx="1">
                  <c:v>11</c:v>
                </c:pt>
                <c:pt idx="2">
                  <c:v>6</c:v>
                </c:pt>
                <c:pt idx="3">
                  <c:v>2</c:v>
                </c:pt>
                <c:pt idx="4">
                  <c:v>2</c:v>
                </c:pt>
                <c:pt idx="5">
                  <c:v>6</c:v>
                </c:pt>
                <c:pt idx="6">
                  <c:v>3</c:v>
                </c:pt>
                <c:pt idx="7">
                  <c:v>3</c:v>
                </c:pt>
                <c:pt idx="8">
                  <c:v>2</c:v>
                </c:pt>
                <c:pt idx="9">
                  <c:v>11</c:v>
                </c:pt>
                <c:pt idx="10">
                  <c:v>3</c:v>
                </c:pt>
                <c:pt idx="11">
                  <c:v>1</c:v>
                </c:pt>
              </c:numCache>
            </c:numRef>
          </c:val>
        </c:ser>
        <c:dLbls>
          <c:showLegendKey val="0"/>
          <c:showVal val="0"/>
          <c:showCatName val="0"/>
          <c:showSerName val="0"/>
          <c:showPercent val="0"/>
          <c:showBubbleSize val="0"/>
        </c:dLbls>
        <c:gapWidth val="150"/>
        <c:axId val="47580288"/>
        <c:axId val="47581824"/>
      </c:barChart>
      <c:catAx>
        <c:axId val="47580288"/>
        <c:scaling>
          <c:orientation val="minMax"/>
        </c:scaling>
        <c:delete val="0"/>
        <c:axPos val="b"/>
        <c:majorTickMark val="out"/>
        <c:minorTickMark val="none"/>
        <c:tickLblPos val="nextTo"/>
        <c:crossAx val="47581824"/>
        <c:crosses val="autoZero"/>
        <c:auto val="1"/>
        <c:lblAlgn val="ctr"/>
        <c:lblOffset val="100"/>
        <c:noMultiLvlLbl val="0"/>
      </c:catAx>
      <c:valAx>
        <c:axId val="47581824"/>
        <c:scaling>
          <c:orientation val="minMax"/>
        </c:scaling>
        <c:delete val="0"/>
        <c:axPos val="l"/>
        <c:numFmt formatCode="General" sourceLinked="1"/>
        <c:majorTickMark val="out"/>
        <c:minorTickMark val="none"/>
        <c:tickLblPos val="nextTo"/>
        <c:crossAx val="47580288"/>
        <c:crosses val="autoZero"/>
        <c:crossBetween val="between"/>
      </c:valAx>
      <c:spPr>
        <a:noFill/>
        <a:ln w="25400">
          <a:noFill/>
        </a:ln>
      </c:spPr>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ACERAGE</a:t>
            </a:r>
          </a:p>
        </c:rich>
      </c:tx>
      <c:layout/>
      <c:overlay val="0"/>
    </c:title>
    <c:autoTitleDeleted val="0"/>
    <c:plotArea>
      <c:layout/>
      <c:barChart>
        <c:barDir val="col"/>
        <c:grouping val="clustered"/>
        <c:varyColors val="0"/>
        <c:ser>
          <c:idx val="0"/>
          <c:order val="0"/>
          <c:tx>
            <c:strRef>
              <c:f>Charts!$C$77</c:f>
              <c:strCache>
                <c:ptCount val="1"/>
                <c:pt idx="0">
                  <c:v>ACERAGE</c:v>
                </c:pt>
              </c:strCache>
            </c:strRef>
          </c:tx>
          <c:invertIfNegative val="0"/>
          <c:dLbls>
            <c:showLegendKey val="0"/>
            <c:showVal val="1"/>
            <c:showCatName val="0"/>
            <c:showSerName val="0"/>
            <c:showPercent val="0"/>
            <c:showBubbleSize val="0"/>
            <c:showLeaderLines val="0"/>
          </c:dLbls>
          <c:cat>
            <c:strRef>
              <c:f>Charts!$A$78:$A$89</c:f>
              <c:strCache>
                <c:ptCount val="12"/>
                <c:pt idx="0">
                  <c:v>RAD</c:v>
                </c:pt>
                <c:pt idx="1">
                  <c:v>RSD</c:v>
                </c:pt>
                <c:pt idx="2">
                  <c:v>KRD</c:v>
                </c:pt>
                <c:pt idx="3">
                  <c:v>PDD</c:v>
                </c:pt>
                <c:pt idx="4">
                  <c:v>ALX</c:v>
                </c:pt>
                <c:pt idx="5">
                  <c:v>CAX</c:v>
                </c:pt>
                <c:pt idx="6">
                  <c:v>LAX</c:v>
                </c:pt>
                <c:pt idx="7">
                  <c:v>LIX</c:v>
                </c:pt>
                <c:pt idx="8">
                  <c:v>SUX</c:v>
                </c:pt>
                <c:pt idx="9">
                  <c:v>SWX</c:v>
                </c:pt>
                <c:pt idx="10">
                  <c:v>UIX</c:v>
                </c:pt>
                <c:pt idx="11">
                  <c:v>WYS</c:v>
                </c:pt>
              </c:strCache>
            </c:strRef>
          </c:cat>
          <c:val>
            <c:numRef>
              <c:f>Charts!$C$78:$C$89</c:f>
              <c:numCache>
                <c:formatCode>General</c:formatCode>
                <c:ptCount val="12"/>
                <c:pt idx="0">
                  <c:v>11</c:v>
                </c:pt>
                <c:pt idx="1">
                  <c:v>3</c:v>
                </c:pt>
                <c:pt idx="2">
                  <c:v>386</c:v>
                </c:pt>
                <c:pt idx="3">
                  <c:v>10</c:v>
                </c:pt>
                <c:pt idx="4">
                  <c:v>2</c:v>
                </c:pt>
                <c:pt idx="5">
                  <c:v>210</c:v>
                </c:pt>
                <c:pt idx="6">
                  <c:v>459</c:v>
                </c:pt>
                <c:pt idx="7">
                  <c:v>15</c:v>
                </c:pt>
                <c:pt idx="8">
                  <c:v>196</c:v>
                </c:pt>
                <c:pt idx="9">
                  <c:v>5</c:v>
                </c:pt>
                <c:pt idx="10">
                  <c:v>924</c:v>
                </c:pt>
                <c:pt idx="11">
                  <c:v>0.4</c:v>
                </c:pt>
              </c:numCache>
            </c:numRef>
          </c:val>
        </c:ser>
        <c:dLbls>
          <c:showLegendKey val="0"/>
          <c:showVal val="0"/>
          <c:showCatName val="0"/>
          <c:showSerName val="0"/>
          <c:showPercent val="0"/>
          <c:showBubbleSize val="0"/>
        </c:dLbls>
        <c:gapWidth val="150"/>
        <c:axId val="47311488"/>
        <c:axId val="47817088"/>
      </c:barChart>
      <c:catAx>
        <c:axId val="47311488"/>
        <c:scaling>
          <c:orientation val="minMax"/>
        </c:scaling>
        <c:delete val="0"/>
        <c:axPos val="b"/>
        <c:majorTickMark val="out"/>
        <c:minorTickMark val="none"/>
        <c:tickLblPos val="nextTo"/>
        <c:crossAx val="47817088"/>
        <c:crosses val="autoZero"/>
        <c:auto val="1"/>
        <c:lblAlgn val="ctr"/>
        <c:lblOffset val="100"/>
        <c:noMultiLvlLbl val="0"/>
      </c:catAx>
      <c:valAx>
        <c:axId val="47817088"/>
        <c:scaling>
          <c:orientation val="minMax"/>
        </c:scaling>
        <c:delete val="0"/>
        <c:axPos val="l"/>
        <c:majorGridlines/>
        <c:numFmt formatCode="General" sourceLinked="1"/>
        <c:majorTickMark val="out"/>
        <c:minorTickMark val="none"/>
        <c:tickLblPos val="nextTo"/>
        <c:crossAx val="4731148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NATURAL CAUSED</a:t>
            </a:r>
          </a:p>
        </c:rich>
      </c:tx>
      <c:layout/>
      <c:overlay val="0"/>
    </c:title>
    <c:autoTitleDeleted val="0"/>
    <c:plotArea>
      <c:layout/>
      <c:barChart>
        <c:barDir val="col"/>
        <c:grouping val="clustered"/>
        <c:varyColors val="0"/>
        <c:ser>
          <c:idx val="0"/>
          <c:order val="0"/>
          <c:tx>
            <c:strRef>
              <c:f>Charts!$D$77</c:f>
              <c:strCache>
                <c:ptCount val="1"/>
                <c:pt idx="0">
                  <c:v>NATURAL</c:v>
                </c:pt>
              </c:strCache>
            </c:strRef>
          </c:tx>
          <c:invertIfNegative val="0"/>
          <c:dLbls>
            <c:showLegendKey val="0"/>
            <c:showVal val="1"/>
            <c:showCatName val="0"/>
            <c:showSerName val="0"/>
            <c:showPercent val="0"/>
            <c:showBubbleSize val="0"/>
            <c:showLeaderLines val="0"/>
          </c:dLbls>
          <c:cat>
            <c:strRef>
              <c:f>Charts!$A$78:$A$89</c:f>
              <c:strCache>
                <c:ptCount val="12"/>
                <c:pt idx="0">
                  <c:v>RAD</c:v>
                </c:pt>
                <c:pt idx="1">
                  <c:v>RSD</c:v>
                </c:pt>
                <c:pt idx="2">
                  <c:v>KRD</c:v>
                </c:pt>
                <c:pt idx="3">
                  <c:v>PDD</c:v>
                </c:pt>
                <c:pt idx="4">
                  <c:v>ALX</c:v>
                </c:pt>
                <c:pt idx="5">
                  <c:v>CAX</c:v>
                </c:pt>
                <c:pt idx="6">
                  <c:v>LAX</c:v>
                </c:pt>
                <c:pt idx="7">
                  <c:v>LIX</c:v>
                </c:pt>
                <c:pt idx="8">
                  <c:v>SUX</c:v>
                </c:pt>
                <c:pt idx="9">
                  <c:v>SWX</c:v>
                </c:pt>
                <c:pt idx="10">
                  <c:v>UIX</c:v>
                </c:pt>
                <c:pt idx="11">
                  <c:v>WYS</c:v>
                </c:pt>
              </c:strCache>
            </c:strRef>
          </c:cat>
          <c:val>
            <c:numRef>
              <c:f>Charts!$D$78:$D$89</c:f>
              <c:numCache>
                <c:formatCode>General</c:formatCode>
                <c:ptCount val="12"/>
                <c:pt idx="0">
                  <c:v>11</c:v>
                </c:pt>
                <c:pt idx="1">
                  <c:v>12</c:v>
                </c:pt>
                <c:pt idx="2">
                  <c:v>0</c:v>
                </c:pt>
                <c:pt idx="3">
                  <c:v>1</c:v>
                </c:pt>
                <c:pt idx="4">
                  <c:v>2</c:v>
                </c:pt>
                <c:pt idx="5">
                  <c:v>1</c:v>
                </c:pt>
                <c:pt idx="6">
                  <c:v>0</c:v>
                </c:pt>
                <c:pt idx="7">
                  <c:v>0</c:v>
                </c:pt>
                <c:pt idx="8">
                  <c:v>0</c:v>
                </c:pt>
                <c:pt idx="9">
                  <c:v>5</c:v>
                </c:pt>
                <c:pt idx="10">
                  <c:v>0</c:v>
                </c:pt>
                <c:pt idx="11">
                  <c:v>2</c:v>
                </c:pt>
              </c:numCache>
            </c:numRef>
          </c:val>
        </c:ser>
        <c:dLbls>
          <c:showLegendKey val="0"/>
          <c:showVal val="0"/>
          <c:showCatName val="0"/>
          <c:showSerName val="0"/>
          <c:showPercent val="0"/>
          <c:showBubbleSize val="0"/>
        </c:dLbls>
        <c:gapWidth val="150"/>
        <c:axId val="48128768"/>
        <c:axId val="48130304"/>
      </c:barChart>
      <c:catAx>
        <c:axId val="48128768"/>
        <c:scaling>
          <c:orientation val="minMax"/>
        </c:scaling>
        <c:delete val="0"/>
        <c:axPos val="b"/>
        <c:majorTickMark val="out"/>
        <c:minorTickMark val="none"/>
        <c:tickLblPos val="nextTo"/>
        <c:crossAx val="48130304"/>
        <c:crosses val="autoZero"/>
        <c:auto val="1"/>
        <c:lblAlgn val="ctr"/>
        <c:lblOffset val="100"/>
        <c:noMultiLvlLbl val="0"/>
      </c:catAx>
      <c:valAx>
        <c:axId val="48130304"/>
        <c:scaling>
          <c:orientation val="minMax"/>
        </c:scaling>
        <c:delete val="0"/>
        <c:axPos val="l"/>
        <c:majorGridlines/>
        <c:numFmt formatCode="General" sourceLinked="1"/>
        <c:majorTickMark val="out"/>
        <c:minorTickMark val="none"/>
        <c:tickLblPos val="nextTo"/>
        <c:crossAx val="4812876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AAC32-092C-490D-A2DF-D289F5470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1565</TotalTime>
  <Pages>16</Pages>
  <Words>730</Words>
  <Characters>4162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Bureau of Land Management</Company>
  <LinksUpToDate>false</LinksUpToDate>
  <CharactersWithSpaces>4883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tdavi</dc:creator>
  <cp:lastModifiedBy>Weller, Bradley M</cp:lastModifiedBy>
  <cp:revision>9</cp:revision>
  <cp:lastPrinted>2016-01-12T21:59:00Z</cp:lastPrinted>
  <dcterms:created xsi:type="dcterms:W3CDTF">2017-01-11T18:40:00Z</dcterms:created>
  <dcterms:modified xsi:type="dcterms:W3CDTF">2017-03-14T14:32:00Z</dcterms:modified>
</cp:coreProperties>
</file>